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bookmarkStart w:id="0" w:name="_Hlk186389413"/>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w:t>
      </w:r>
      <w:r w:rsidRPr="003D358D">
        <w:t xml:space="preserve"> to</w:t>
      </w:r>
      <w:r>
        <w:t xml:space="preserve"> me if you have any questions.</w:t>
      </w:r>
    </w:p>
    <w:bookmarkEnd w:id="0"/>
    <w:p w14:paraId="240F7745" w14:textId="33524388" w:rsidR="00B2118C" w:rsidRDefault="00E029F7">
      <w:r>
        <w:rPr>
          <w:noProof/>
        </w:rPr>
        <w:lastRenderedPageBreak/>
        <mc:AlternateContent>
          <mc:Choice Requires="wps">
            <w:drawing>
              <wp:anchor distT="45720" distB="45720" distL="114300" distR="114300" simplePos="0" relativeHeight="251664384" behindDoc="0" locked="0" layoutInCell="1" allowOverlap="1" wp14:anchorId="026D2719" wp14:editId="465FC382">
                <wp:simplePos x="0" y="0"/>
                <wp:positionH relativeFrom="margin">
                  <wp:posOffset>2883535</wp:posOffset>
                </wp:positionH>
                <wp:positionV relativeFrom="paragraph">
                  <wp:posOffset>5138469</wp:posOffset>
                </wp:positionV>
                <wp:extent cx="3950335" cy="2089785"/>
                <wp:effectExtent l="0" t="0" r="1206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2089785"/>
                        </a:xfrm>
                        <a:prstGeom prst="rect">
                          <a:avLst/>
                        </a:prstGeom>
                        <a:solidFill>
                          <a:srgbClr val="FFFFFF"/>
                        </a:solidFill>
                        <a:ln w="9525">
                          <a:solidFill>
                            <a:srgbClr val="000000"/>
                          </a:solidFill>
                          <a:miter lim="800000"/>
                          <a:headEnd/>
                          <a:tailEnd/>
                        </a:ln>
                      </wps:spPr>
                      <wps:txbx>
                        <w:txbxContent>
                          <w:p w14:paraId="2DFAA2E3" w14:textId="45B1DA08" w:rsidR="003507F4" w:rsidRPr="003E5CE8" w:rsidRDefault="00017B2B" w:rsidP="003507F4">
                            <w:pPr>
                              <w:jc w:val="both"/>
                              <w:rPr>
                                <w:sz w:val="20"/>
                                <w:szCs w:val="20"/>
                                <w:lang w:val="en-GB"/>
                              </w:rPr>
                            </w:pPr>
                            <w:r w:rsidRPr="003507F4">
                              <w:rPr>
                                <w:b/>
                                <w:bCs/>
                                <w:sz w:val="20"/>
                                <w:szCs w:val="20"/>
                              </w:rPr>
                              <w:t>Point 2:</w:t>
                            </w:r>
                            <w:r w:rsidR="00B92FD6" w:rsidRPr="003507F4">
                              <w:rPr>
                                <w:b/>
                                <w:bCs/>
                                <w:sz w:val="20"/>
                                <w:szCs w:val="20"/>
                              </w:rPr>
                              <w:t xml:space="preserve"> </w:t>
                            </w:r>
                            <w:r w:rsidR="003507F4" w:rsidRPr="003E5CE8">
                              <w:rPr>
                                <w:sz w:val="20"/>
                                <w:szCs w:val="20"/>
                                <w:lang w:val="en-GB"/>
                              </w:rPr>
                              <w:t>Nike’s EBITDA margin remains stable at 16.5% (2022-2025), with no forecasted growth in revenue or EBITDA.</w:t>
                            </w:r>
                            <w:r w:rsidR="003507F4" w:rsidRPr="003507F4">
                              <w:rPr>
                                <w:sz w:val="20"/>
                                <w:szCs w:val="20"/>
                                <w:lang w:val="en-GB"/>
                              </w:rPr>
                              <w:t xml:space="preserve"> </w:t>
                            </w:r>
                            <w:r w:rsidR="003507F4" w:rsidRPr="003E5CE8">
                              <w:rPr>
                                <w:b/>
                                <w:bCs/>
                                <w:sz w:val="20"/>
                                <w:szCs w:val="20"/>
                                <w:lang w:val="en-GB"/>
                              </w:rPr>
                              <w:t>Segment Contribution:</w:t>
                            </w:r>
                            <w:r w:rsidR="003507F4" w:rsidRPr="003E5CE8">
                              <w:rPr>
                                <w:sz w:val="20"/>
                                <w:szCs w:val="20"/>
                                <w:lang w:val="en-GB"/>
                              </w:rPr>
                              <w:t xml:space="preserve"> North America (38.5%), EMEA (27.5%), Greater China (19.3%), APLA (32.5%), Converse (29.5%) dominate margins, while Global Brand Divisions drag significantly (-3962.7%).</w:t>
                            </w:r>
                            <w:r w:rsidR="003507F4" w:rsidRPr="003507F4">
                              <w:rPr>
                                <w:sz w:val="20"/>
                                <w:szCs w:val="20"/>
                                <w:lang w:val="en-GB"/>
                              </w:rPr>
                              <w:t xml:space="preserve"> </w:t>
                            </w:r>
                            <w:r w:rsidR="003507F4" w:rsidRPr="003E5CE8">
                              <w:rPr>
                                <w:b/>
                                <w:bCs/>
                                <w:sz w:val="20"/>
                                <w:szCs w:val="20"/>
                                <w:lang w:val="en-GB"/>
                              </w:rPr>
                              <w:t>Margin Growth Outlook:</w:t>
                            </w:r>
                            <w:r w:rsidR="003507F4" w:rsidRPr="003E5CE8">
                              <w:rPr>
                                <w:sz w:val="20"/>
                                <w:szCs w:val="20"/>
                                <w:lang w:val="en-GB"/>
                              </w:rPr>
                              <w:t xml:space="preserve"> Future margin growth depends on sustained strong performance in EMEA/APLA and reversing declines in Greater China and Global Brand Divisions.</w:t>
                            </w:r>
                            <w:r w:rsidR="003507F4" w:rsidRPr="003507F4">
                              <w:rPr>
                                <w:sz w:val="20"/>
                                <w:szCs w:val="20"/>
                                <w:lang w:val="en-GB"/>
                              </w:rPr>
                              <w:t xml:space="preserve"> </w:t>
                            </w:r>
                            <w:r w:rsidR="003507F4" w:rsidRPr="003E5CE8">
                              <w:rPr>
                                <w:b/>
                                <w:bCs/>
                                <w:sz w:val="20"/>
                                <w:szCs w:val="20"/>
                                <w:lang w:val="en-GB"/>
                              </w:rPr>
                              <w:t>Key Cost Trends:</w:t>
                            </w:r>
                            <w:r w:rsidR="003507F4" w:rsidRPr="003E5CE8">
                              <w:rPr>
                                <w:sz w:val="20"/>
                                <w:szCs w:val="20"/>
                                <w:lang w:val="en-GB"/>
                              </w:rPr>
                              <w:t xml:space="preserve"> D&amp;A at 1.8% of revenue is stable; R&amp;D and capex show consistent allocations (~1.6%), with selective investments in equipment and PPE.</w:t>
                            </w:r>
                            <w:r w:rsidR="003507F4" w:rsidRPr="003507F4">
                              <w:rPr>
                                <w:sz w:val="20"/>
                                <w:szCs w:val="20"/>
                                <w:lang w:val="en-GB"/>
                              </w:rPr>
                              <w:t xml:space="preserve"> </w:t>
                            </w:r>
                            <w:r w:rsidR="003507F4" w:rsidRPr="003E5CE8">
                              <w:rPr>
                                <w:b/>
                                <w:bCs/>
                                <w:sz w:val="20"/>
                                <w:szCs w:val="20"/>
                                <w:lang w:val="en-GB"/>
                              </w:rPr>
                              <w:t>Historic Trends:</w:t>
                            </w:r>
                            <w:r w:rsidR="003507F4" w:rsidRPr="003E5CE8">
                              <w:rPr>
                                <w:sz w:val="20"/>
                                <w:szCs w:val="20"/>
                                <w:lang w:val="en-GB"/>
                              </w:rPr>
                              <w:t xml:space="preserve"> Footwear dominates revenue mix, with apparel showing higher growth rates; organic growth drivers vary by region, impacted by currency.</w:t>
                            </w:r>
                          </w:p>
                          <w:p w14:paraId="0347BA08" w14:textId="77777777" w:rsidR="003507F4" w:rsidRPr="003507F4" w:rsidRDefault="003507F4" w:rsidP="003507F4">
                            <w:pPr>
                              <w:rPr>
                                <w:sz w:val="20"/>
                                <w:szCs w:val="20"/>
                                <w:u w:val="single"/>
                              </w:rPr>
                            </w:pPr>
                          </w:p>
                          <w:p w14:paraId="71B87708" w14:textId="77777777" w:rsidR="00017B2B" w:rsidRPr="00250914" w:rsidRDefault="00017B2B" w:rsidP="00250914">
                            <w:pPr>
                              <w:ind w:firstLine="720"/>
                              <w:rPr>
                                <w:u w:val="single"/>
                              </w:rPr>
                            </w:pPr>
                          </w:p>
                          <w:p w14:paraId="4CBB5B9A" w14:textId="77777777" w:rsidR="00017B2B" w:rsidRDefault="00017B2B"/>
                          <w:p w14:paraId="6A4869E9" w14:textId="4AB610DD" w:rsidR="003507F4" w:rsidRPr="003E5CE8" w:rsidRDefault="00017B2B" w:rsidP="003507F4">
                            <w:pPr>
                              <w:jc w:val="both"/>
                              <w:rPr>
                                <w:sz w:val="20"/>
                                <w:szCs w:val="20"/>
                                <w:lang w:val="en-GB"/>
                              </w:rPr>
                            </w:pPr>
                            <w:r w:rsidRPr="003507F4">
                              <w:rPr>
                                <w:b/>
                                <w:bCs/>
                                <w:sz w:val="20"/>
                                <w:szCs w:val="20"/>
                              </w:rPr>
                              <w:t>Point 2:</w:t>
                            </w:r>
                            <w:r w:rsidR="00B92FD6" w:rsidRPr="003507F4">
                              <w:rPr>
                                <w:b/>
                                <w:bCs/>
                                <w:sz w:val="20"/>
                                <w:szCs w:val="20"/>
                              </w:rPr>
                              <w:t xml:space="preserve"> </w:t>
                            </w:r>
                            <w:r w:rsidR="003507F4" w:rsidRPr="003E5CE8">
                              <w:rPr>
                                <w:sz w:val="20"/>
                                <w:szCs w:val="20"/>
                                <w:lang w:val="en-GB"/>
                              </w:rPr>
                              <w:t>Nike’s EBITDA margin remains stable at 16.5% (2022-2025), with no forecasted growth in revenue or EBITDA.</w:t>
                            </w:r>
                            <w:r w:rsidR="003507F4" w:rsidRPr="003507F4">
                              <w:rPr>
                                <w:sz w:val="20"/>
                                <w:szCs w:val="20"/>
                                <w:lang w:val="en-GB"/>
                              </w:rPr>
                              <w:t xml:space="preserve"> </w:t>
                            </w:r>
                            <w:r w:rsidR="003507F4" w:rsidRPr="003E5CE8">
                              <w:rPr>
                                <w:b/>
                                <w:bCs/>
                                <w:sz w:val="20"/>
                                <w:szCs w:val="20"/>
                                <w:lang w:val="en-GB"/>
                              </w:rPr>
                              <w:t>Segment Contribution:</w:t>
                            </w:r>
                            <w:r w:rsidR="003507F4" w:rsidRPr="003E5CE8">
                              <w:rPr>
                                <w:sz w:val="20"/>
                                <w:szCs w:val="20"/>
                                <w:lang w:val="en-GB"/>
                              </w:rPr>
                              <w:t xml:space="preserve"> North America (38.5%), EMEA (27.5%), Greater China (19.3%), APLA (32.5%), Converse (29.5%) dominate margins, while Global Brand Divisions drag significantly (-3962.7%).</w:t>
                            </w:r>
                            <w:r w:rsidR="003507F4" w:rsidRPr="003507F4">
                              <w:rPr>
                                <w:sz w:val="20"/>
                                <w:szCs w:val="20"/>
                                <w:lang w:val="en-GB"/>
                              </w:rPr>
                              <w:t xml:space="preserve"> </w:t>
                            </w:r>
                            <w:r w:rsidR="003507F4" w:rsidRPr="003E5CE8">
                              <w:rPr>
                                <w:b/>
                                <w:bCs/>
                                <w:sz w:val="20"/>
                                <w:szCs w:val="20"/>
                                <w:lang w:val="en-GB"/>
                              </w:rPr>
                              <w:t>Margin Growth Outlook:</w:t>
                            </w:r>
                            <w:r w:rsidR="003507F4" w:rsidRPr="003E5CE8">
                              <w:rPr>
                                <w:sz w:val="20"/>
                                <w:szCs w:val="20"/>
                                <w:lang w:val="en-GB"/>
                              </w:rPr>
                              <w:t xml:space="preserve"> Future margin growth depends on sustained strong performance in EMEA/APLA and reversing declines in Greater China and Global Brand Divisions.</w:t>
                            </w:r>
                            <w:r w:rsidR="003507F4" w:rsidRPr="003507F4">
                              <w:rPr>
                                <w:sz w:val="20"/>
                                <w:szCs w:val="20"/>
                                <w:lang w:val="en-GB"/>
                              </w:rPr>
                              <w:t xml:space="preserve"> </w:t>
                            </w:r>
                            <w:r w:rsidR="003507F4" w:rsidRPr="003E5CE8">
                              <w:rPr>
                                <w:b/>
                                <w:bCs/>
                                <w:sz w:val="20"/>
                                <w:szCs w:val="20"/>
                                <w:lang w:val="en-GB"/>
                              </w:rPr>
                              <w:t>Key Cost Trends:</w:t>
                            </w:r>
                            <w:r w:rsidR="003507F4" w:rsidRPr="003E5CE8">
                              <w:rPr>
                                <w:sz w:val="20"/>
                                <w:szCs w:val="20"/>
                                <w:lang w:val="en-GB"/>
                              </w:rPr>
                              <w:t xml:space="preserve"> D&amp;A at 1.8% of revenue is stable; R&amp;D and capex show consistent allocations (~1.6%), with selective investments in equipment and PPE.</w:t>
                            </w:r>
                            <w:r w:rsidR="003507F4" w:rsidRPr="003507F4">
                              <w:rPr>
                                <w:sz w:val="20"/>
                                <w:szCs w:val="20"/>
                                <w:lang w:val="en-GB"/>
                              </w:rPr>
                              <w:t xml:space="preserve"> </w:t>
                            </w:r>
                            <w:r w:rsidR="003507F4" w:rsidRPr="003E5CE8">
                              <w:rPr>
                                <w:b/>
                                <w:bCs/>
                                <w:sz w:val="20"/>
                                <w:szCs w:val="20"/>
                                <w:lang w:val="en-GB"/>
                              </w:rPr>
                              <w:t>Historic Trends:</w:t>
                            </w:r>
                            <w:r w:rsidR="003507F4" w:rsidRPr="003E5CE8">
                              <w:rPr>
                                <w:sz w:val="20"/>
                                <w:szCs w:val="20"/>
                                <w:lang w:val="en-GB"/>
                              </w:rPr>
                              <w:t xml:space="preserve"> Footwear dominates revenue mix, with apparel showing higher growth rates; organic growth drivers vary by region, impacted by currency.</w:t>
                            </w:r>
                          </w:p>
                          <w:p w14:paraId="1CD4E57D" w14:textId="77140341" w:rsidR="003507F4" w:rsidRPr="003507F4" w:rsidRDefault="003507F4" w:rsidP="003507F4">
                            <w:pPr>
                              <w:rPr>
                                <w:sz w:val="20"/>
                                <w:szCs w:val="20"/>
                                <w:u w:val="single"/>
                              </w:rPr>
                            </w:pPr>
                          </w:p>
                          <w:p w14:paraId="182755EA" w14:textId="02C142F6" w:rsidR="00017B2B" w:rsidRPr="00250914" w:rsidRDefault="00017B2B" w:rsidP="00250914">
                            <w:pPr>
                              <w:ind w:firstLine="720"/>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2719" id="_x0000_t202" coordsize="21600,21600" o:spt="202" path="m,l,21600r21600,l21600,xe">
                <v:stroke joinstyle="miter"/>
                <v:path gradientshapeok="t" o:connecttype="rect"/>
              </v:shapetype>
              <v:shape id="Text Box 2" o:spid="_x0000_s1026" type="#_x0000_t202" style="position:absolute;margin-left:227.05pt;margin-top:404.6pt;width:311.05pt;height:164.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">
                <v:textbox>
                  <w:txbxContent>
                    <w:p w14:paraId="2DFAA2E3" w14:textId="45B1DA08" w:rsidR="003507F4" w:rsidRPr="003E5CE8" w:rsidRDefault="00017B2B" w:rsidP="003507F4">
                      <w:pPr>
                        <w:jc w:val="both"/>
                        <w:rPr>
                          <w:sz w:val="20"/>
                          <w:szCs w:val="20"/>
                          <w:lang w:val="en-GB"/>
                        </w:rPr>
                      </w:pPr>
                      <w:r w:rsidRPr="003507F4">
                        <w:rPr>
                          <w:b/>
                          <w:bCs/>
                          <w:sz w:val="20"/>
                          <w:szCs w:val="20"/>
                        </w:rPr>
                        <w:t>Point 2:</w:t>
                      </w:r>
                      <w:r w:rsidR="00B92FD6" w:rsidRPr="003507F4">
                        <w:rPr>
                          <w:b/>
                          <w:bCs/>
                          <w:sz w:val="20"/>
                          <w:szCs w:val="20"/>
                        </w:rPr>
                        <w:t xml:space="preserve"> </w:t>
                      </w:r>
                      <w:r w:rsidR="003507F4" w:rsidRPr="003E5CE8">
                        <w:rPr>
                          <w:sz w:val="20"/>
                          <w:szCs w:val="20"/>
                          <w:lang w:val="en-GB"/>
                        </w:rPr>
                        <w:t>Nike’s EBITDA margin remains stable at 16.5% (2022-2025), with no forecasted growth in revenue or EBITDA.</w:t>
                      </w:r>
                      <w:r w:rsidR="003507F4" w:rsidRPr="003507F4">
                        <w:rPr>
                          <w:sz w:val="20"/>
                          <w:szCs w:val="20"/>
                          <w:lang w:val="en-GB"/>
                        </w:rPr>
                        <w:t xml:space="preserve"> </w:t>
                      </w:r>
                      <w:r w:rsidR="003507F4" w:rsidRPr="003E5CE8">
                        <w:rPr>
                          <w:b/>
                          <w:bCs/>
                          <w:sz w:val="20"/>
                          <w:szCs w:val="20"/>
                          <w:lang w:val="en-GB"/>
                        </w:rPr>
                        <w:t>Segment Contribution:</w:t>
                      </w:r>
                      <w:r w:rsidR="003507F4" w:rsidRPr="003E5CE8">
                        <w:rPr>
                          <w:sz w:val="20"/>
                          <w:szCs w:val="20"/>
                          <w:lang w:val="en-GB"/>
                        </w:rPr>
                        <w:t xml:space="preserve"> North America (38.5%), EMEA (27.5%), Greater China (19.3%), APLA (32.5%), Converse (29.5%) dominate margins, while Global Brand Divisions drag significantly (-3962.7%).</w:t>
                      </w:r>
                      <w:r w:rsidR="003507F4" w:rsidRPr="003507F4">
                        <w:rPr>
                          <w:sz w:val="20"/>
                          <w:szCs w:val="20"/>
                          <w:lang w:val="en-GB"/>
                        </w:rPr>
                        <w:t xml:space="preserve"> </w:t>
                      </w:r>
                      <w:r w:rsidR="003507F4" w:rsidRPr="003E5CE8">
                        <w:rPr>
                          <w:b/>
                          <w:bCs/>
                          <w:sz w:val="20"/>
                          <w:szCs w:val="20"/>
                          <w:lang w:val="en-GB"/>
                        </w:rPr>
                        <w:t>Margin Growth Outlook:</w:t>
                      </w:r>
                      <w:r w:rsidR="003507F4" w:rsidRPr="003E5CE8">
                        <w:rPr>
                          <w:sz w:val="20"/>
                          <w:szCs w:val="20"/>
                          <w:lang w:val="en-GB"/>
                        </w:rPr>
                        <w:t xml:space="preserve"> Future margin growth depends on sustained strong performance in EMEA/APLA and reversing declines in Greater China and Global Brand Divisions.</w:t>
                      </w:r>
                      <w:r w:rsidR="003507F4" w:rsidRPr="003507F4">
                        <w:rPr>
                          <w:sz w:val="20"/>
                          <w:szCs w:val="20"/>
                          <w:lang w:val="en-GB"/>
                        </w:rPr>
                        <w:t xml:space="preserve"> </w:t>
                      </w:r>
                      <w:r w:rsidR="003507F4" w:rsidRPr="003E5CE8">
                        <w:rPr>
                          <w:b/>
                          <w:bCs/>
                          <w:sz w:val="20"/>
                          <w:szCs w:val="20"/>
                          <w:lang w:val="en-GB"/>
                        </w:rPr>
                        <w:t>Key Cost Trends:</w:t>
                      </w:r>
                      <w:r w:rsidR="003507F4" w:rsidRPr="003E5CE8">
                        <w:rPr>
                          <w:sz w:val="20"/>
                          <w:szCs w:val="20"/>
                          <w:lang w:val="en-GB"/>
                        </w:rPr>
                        <w:t xml:space="preserve"> D&amp;A at 1.8% of revenue is stable; R&amp;D and capex show consistent allocations (~1.6%), with selective investments in equipment and PPE.</w:t>
                      </w:r>
                      <w:r w:rsidR="003507F4" w:rsidRPr="003507F4">
                        <w:rPr>
                          <w:sz w:val="20"/>
                          <w:szCs w:val="20"/>
                          <w:lang w:val="en-GB"/>
                        </w:rPr>
                        <w:t xml:space="preserve"> </w:t>
                      </w:r>
                      <w:r w:rsidR="003507F4" w:rsidRPr="003E5CE8">
                        <w:rPr>
                          <w:b/>
                          <w:bCs/>
                          <w:sz w:val="20"/>
                          <w:szCs w:val="20"/>
                          <w:lang w:val="en-GB"/>
                        </w:rPr>
                        <w:t>Historic Trends:</w:t>
                      </w:r>
                      <w:r w:rsidR="003507F4" w:rsidRPr="003E5CE8">
                        <w:rPr>
                          <w:sz w:val="20"/>
                          <w:szCs w:val="20"/>
                          <w:lang w:val="en-GB"/>
                        </w:rPr>
                        <w:t xml:space="preserve"> Footwear dominates revenue mix, with apparel showing higher growth rates; organic growth drivers vary by region, impacted by currency.</w:t>
                      </w:r>
                    </w:p>
                    <w:p w14:paraId="0347BA08" w14:textId="77777777" w:rsidR="003507F4" w:rsidRPr="003507F4" w:rsidRDefault="003507F4" w:rsidP="003507F4">
                      <w:pPr>
                        <w:rPr>
                          <w:sz w:val="20"/>
                          <w:szCs w:val="20"/>
                          <w:u w:val="single"/>
                        </w:rPr>
                      </w:pPr>
                    </w:p>
                    <w:p w14:paraId="71B87708" w14:textId="77777777" w:rsidR="00017B2B" w:rsidRPr="00250914" w:rsidRDefault="00017B2B" w:rsidP="00250914">
                      <w:pPr>
                        <w:ind w:firstLine="720"/>
                        <w:rPr>
                          <w:u w:val="single"/>
                        </w:rPr>
                      </w:pPr>
                    </w:p>
                    <w:p w14:paraId="4CBB5B9A" w14:textId="77777777" w:rsidR="00017B2B" w:rsidRDefault="00017B2B"/>
                    <w:p w14:paraId="6A4869E9" w14:textId="4AB610DD" w:rsidR="003507F4" w:rsidRPr="003E5CE8" w:rsidRDefault="00017B2B" w:rsidP="003507F4">
                      <w:pPr>
                        <w:jc w:val="both"/>
                        <w:rPr>
                          <w:sz w:val="20"/>
                          <w:szCs w:val="20"/>
                          <w:lang w:val="en-GB"/>
                        </w:rPr>
                      </w:pPr>
                      <w:r w:rsidRPr="003507F4">
                        <w:rPr>
                          <w:b/>
                          <w:bCs/>
                          <w:sz w:val="20"/>
                          <w:szCs w:val="20"/>
                        </w:rPr>
                        <w:t>Point 2:</w:t>
                      </w:r>
                      <w:r w:rsidR="00B92FD6" w:rsidRPr="003507F4">
                        <w:rPr>
                          <w:b/>
                          <w:bCs/>
                          <w:sz w:val="20"/>
                          <w:szCs w:val="20"/>
                        </w:rPr>
                        <w:t xml:space="preserve"> </w:t>
                      </w:r>
                      <w:r w:rsidR="003507F4" w:rsidRPr="003E5CE8">
                        <w:rPr>
                          <w:sz w:val="20"/>
                          <w:szCs w:val="20"/>
                          <w:lang w:val="en-GB"/>
                        </w:rPr>
                        <w:t>Nike’s EBITDA margin remains stable at 16.5% (2022-2025), with no forecasted growth in revenue or EBITDA.</w:t>
                      </w:r>
                      <w:r w:rsidR="003507F4" w:rsidRPr="003507F4">
                        <w:rPr>
                          <w:sz w:val="20"/>
                          <w:szCs w:val="20"/>
                          <w:lang w:val="en-GB"/>
                        </w:rPr>
                        <w:t xml:space="preserve"> </w:t>
                      </w:r>
                      <w:r w:rsidR="003507F4" w:rsidRPr="003E5CE8">
                        <w:rPr>
                          <w:b/>
                          <w:bCs/>
                          <w:sz w:val="20"/>
                          <w:szCs w:val="20"/>
                          <w:lang w:val="en-GB"/>
                        </w:rPr>
                        <w:t>Segment Contribution:</w:t>
                      </w:r>
                      <w:r w:rsidR="003507F4" w:rsidRPr="003E5CE8">
                        <w:rPr>
                          <w:sz w:val="20"/>
                          <w:szCs w:val="20"/>
                          <w:lang w:val="en-GB"/>
                        </w:rPr>
                        <w:t xml:space="preserve"> North America (38.5%), EMEA (27.5%), Greater China (19.3%), APLA (32.5%), Converse (29.5%) dominate margins, while Global Brand Divisions drag significantly (-3962.7%).</w:t>
                      </w:r>
                      <w:r w:rsidR="003507F4" w:rsidRPr="003507F4">
                        <w:rPr>
                          <w:sz w:val="20"/>
                          <w:szCs w:val="20"/>
                          <w:lang w:val="en-GB"/>
                        </w:rPr>
                        <w:t xml:space="preserve"> </w:t>
                      </w:r>
                      <w:r w:rsidR="003507F4" w:rsidRPr="003E5CE8">
                        <w:rPr>
                          <w:b/>
                          <w:bCs/>
                          <w:sz w:val="20"/>
                          <w:szCs w:val="20"/>
                          <w:lang w:val="en-GB"/>
                        </w:rPr>
                        <w:t>Margin Growth Outlook:</w:t>
                      </w:r>
                      <w:r w:rsidR="003507F4" w:rsidRPr="003E5CE8">
                        <w:rPr>
                          <w:sz w:val="20"/>
                          <w:szCs w:val="20"/>
                          <w:lang w:val="en-GB"/>
                        </w:rPr>
                        <w:t xml:space="preserve"> Future margin growth depends on sustained strong performance in EMEA/APLA and reversing declines in Greater China and Global Brand Divisions.</w:t>
                      </w:r>
                      <w:r w:rsidR="003507F4" w:rsidRPr="003507F4">
                        <w:rPr>
                          <w:sz w:val="20"/>
                          <w:szCs w:val="20"/>
                          <w:lang w:val="en-GB"/>
                        </w:rPr>
                        <w:t xml:space="preserve"> </w:t>
                      </w:r>
                      <w:r w:rsidR="003507F4" w:rsidRPr="003E5CE8">
                        <w:rPr>
                          <w:b/>
                          <w:bCs/>
                          <w:sz w:val="20"/>
                          <w:szCs w:val="20"/>
                          <w:lang w:val="en-GB"/>
                        </w:rPr>
                        <w:t>Key Cost Trends:</w:t>
                      </w:r>
                      <w:r w:rsidR="003507F4" w:rsidRPr="003E5CE8">
                        <w:rPr>
                          <w:sz w:val="20"/>
                          <w:szCs w:val="20"/>
                          <w:lang w:val="en-GB"/>
                        </w:rPr>
                        <w:t xml:space="preserve"> D&amp;A at 1.8% of revenue is stable; R&amp;D and capex show consistent allocations (~1.6%), with selective investments in equipment and PPE.</w:t>
                      </w:r>
                      <w:r w:rsidR="003507F4" w:rsidRPr="003507F4">
                        <w:rPr>
                          <w:sz w:val="20"/>
                          <w:szCs w:val="20"/>
                          <w:lang w:val="en-GB"/>
                        </w:rPr>
                        <w:t xml:space="preserve"> </w:t>
                      </w:r>
                      <w:r w:rsidR="003507F4" w:rsidRPr="003E5CE8">
                        <w:rPr>
                          <w:b/>
                          <w:bCs/>
                          <w:sz w:val="20"/>
                          <w:szCs w:val="20"/>
                          <w:lang w:val="en-GB"/>
                        </w:rPr>
                        <w:t>Historic Trends:</w:t>
                      </w:r>
                      <w:r w:rsidR="003507F4" w:rsidRPr="003E5CE8">
                        <w:rPr>
                          <w:sz w:val="20"/>
                          <w:szCs w:val="20"/>
                          <w:lang w:val="en-GB"/>
                        </w:rPr>
                        <w:t xml:space="preserve"> Footwear dominates revenue mix, with apparel showing higher growth rates; organic growth drivers vary by region, impacted by currency.</w:t>
                      </w:r>
                    </w:p>
                    <w:p w14:paraId="1CD4E57D" w14:textId="77140341" w:rsidR="003507F4" w:rsidRPr="003507F4" w:rsidRDefault="003507F4" w:rsidP="003507F4">
                      <w:pPr>
                        <w:rPr>
                          <w:sz w:val="20"/>
                          <w:szCs w:val="20"/>
                          <w:u w:val="single"/>
                        </w:rPr>
                      </w:pPr>
                    </w:p>
                    <w:p w14:paraId="182755EA" w14:textId="02C142F6" w:rsidR="00017B2B" w:rsidRPr="00250914" w:rsidRDefault="00017B2B" w:rsidP="00250914">
                      <w:pPr>
                        <w:ind w:firstLine="720"/>
                        <w:rPr>
                          <w:u w:val="single"/>
                        </w:rPr>
                      </w:pPr>
                    </w:p>
                  </w:txbxContent>
                </v:textbox>
                <w10:wrap type="square" anchorx="margin"/>
              </v:shape>
            </w:pict>
          </mc:Fallback>
        </mc:AlternateContent>
      </w:r>
      <w:r w:rsidR="003534A4">
        <w:rPr>
          <w:noProof/>
        </w:rPr>
        <mc:AlternateContent>
          <mc:Choice Requires="wps">
            <w:drawing>
              <wp:anchor distT="45720" distB="45720" distL="114300" distR="114300" simplePos="0" relativeHeight="251666432" behindDoc="0" locked="0" layoutInCell="1" allowOverlap="1" wp14:anchorId="773CC498" wp14:editId="2924FA0F">
                <wp:simplePos x="0" y="0"/>
                <wp:positionH relativeFrom="margin">
                  <wp:align>right</wp:align>
                </wp:positionH>
                <wp:positionV relativeFrom="paragraph">
                  <wp:posOffset>7269480</wp:posOffset>
                </wp:positionV>
                <wp:extent cx="3957955" cy="1847850"/>
                <wp:effectExtent l="0" t="0" r="2349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847850"/>
                        </a:xfrm>
                        <a:prstGeom prst="rect">
                          <a:avLst/>
                        </a:prstGeom>
                        <a:solidFill>
                          <a:srgbClr val="FFFFFF"/>
                        </a:solidFill>
                        <a:ln w="9525">
                          <a:solidFill>
                            <a:srgbClr val="000000"/>
                          </a:solidFill>
                          <a:miter lim="800000"/>
                          <a:headEnd/>
                          <a:tailEnd/>
                        </a:ln>
                      </wps:spPr>
                      <wps:txbx>
                        <w:txbxContent>
                          <w:p w14:paraId="0B2C1D41" w14:textId="6F48B53C" w:rsidR="003534A4" w:rsidRPr="003534A4" w:rsidRDefault="00017B2B" w:rsidP="003534A4">
                            <w:pPr>
                              <w:jc w:val="both"/>
                              <w:rPr>
                                <w:sz w:val="20"/>
                                <w:szCs w:val="20"/>
                                <w:lang w:val="en-GB"/>
                              </w:rPr>
                            </w:pPr>
                            <w:r w:rsidRPr="003534A4">
                              <w:rPr>
                                <w:b/>
                                <w:bCs/>
                                <w:sz w:val="20"/>
                                <w:szCs w:val="20"/>
                              </w:rPr>
                              <w:t>Point 3:</w:t>
                            </w:r>
                            <w:r w:rsidR="00B92FD6" w:rsidRPr="003534A4">
                              <w:rPr>
                                <w:b/>
                                <w:bCs/>
                                <w:sz w:val="20"/>
                                <w:szCs w:val="20"/>
                              </w:rPr>
                              <w:t xml:space="preserve"> </w:t>
                            </w:r>
                            <w:r w:rsidR="003534A4" w:rsidRPr="003534A4">
                              <w:rPr>
                                <w:sz w:val="20"/>
                                <w:szCs w:val="20"/>
                                <w:lang w:val="en-GB"/>
                              </w:rPr>
                              <w:t>EPS remains steady at 3.83 from 2022-2025, showing flat net profit growth. Forecasted FCFF declines from $8,336M in 2022 to $4,191M in 2025, reflecting rising reinvestment or cash obligations despite stable EBITDA. Capex stays constant at $758M/year, maintaining a steady Capex-to-revenue ratio of ~1.6%. Strong growth is expected in Asia-Pacific, Latin America, and EMEA regions, with Footwear and Apparel driving revenue. However, EBITDA margins are shrinking due to rising expenses or competitive pressures, while high WACC and stable debt ratios suggest manageable financing but a need for better equity valuation.</w:t>
                            </w:r>
                          </w:p>
                          <w:p w14:paraId="366B0B19" w14:textId="77777777" w:rsidR="003534A4" w:rsidRPr="003534A4" w:rsidRDefault="003534A4" w:rsidP="003534A4">
                            <w:pPr>
                              <w:rPr>
                                <w:sz w:val="20"/>
                                <w:szCs w:val="20"/>
                                <w:u w:val="single"/>
                              </w:rPr>
                            </w:pPr>
                          </w:p>
                          <w:p w14:paraId="439598AC" w14:textId="77777777" w:rsidR="00017B2B" w:rsidRPr="003534A4" w:rsidRDefault="00017B2B" w:rsidP="00250914">
                            <w:pPr>
                              <w:ind w:firstLine="720"/>
                              <w:rPr>
                                <w:sz w:val="20"/>
                                <w:szCs w:val="20"/>
                                <w:u w:val="single"/>
                              </w:rPr>
                            </w:pPr>
                          </w:p>
                          <w:p w14:paraId="5D0EC91D" w14:textId="77777777" w:rsidR="00017B2B" w:rsidRDefault="00017B2B"/>
                          <w:p w14:paraId="01160461" w14:textId="1B463414" w:rsidR="003534A4" w:rsidRPr="003534A4" w:rsidRDefault="00017B2B" w:rsidP="003534A4">
                            <w:pPr>
                              <w:jc w:val="both"/>
                              <w:rPr>
                                <w:sz w:val="20"/>
                                <w:szCs w:val="20"/>
                                <w:lang w:val="en-GB"/>
                              </w:rPr>
                            </w:pPr>
                            <w:r w:rsidRPr="003534A4">
                              <w:rPr>
                                <w:b/>
                                <w:bCs/>
                                <w:sz w:val="20"/>
                                <w:szCs w:val="20"/>
                              </w:rPr>
                              <w:t>Point 3:</w:t>
                            </w:r>
                            <w:r w:rsidR="00B92FD6" w:rsidRPr="003534A4">
                              <w:rPr>
                                <w:b/>
                                <w:bCs/>
                                <w:sz w:val="20"/>
                                <w:szCs w:val="20"/>
                              </w:rPr>
                              <w:t xml:space="preserve"> </w:t>
                            </w:r>
                            <w:r w:rsidR="003534A4" w:rsidRPr="003534A4">
                              <w:rPr>
                                <w:sz w:val="20"/>
                                <w:szCs w:val="20"/>
                                <w:lang w:val="en-GB"/>
                              </w:rPr>
                              <w:t>EPS remains steady at 3.83 from 2022-2025, showing flat net profit growth. Forecasted FCFF declines from $8,336M in 2022 to $4,191M in 2025, reflecting rising reinvestment or cash obligations despite stable EBITDA. Capex stays constant at $758M/year, maintaining a steady Capex-to-revenue ratio of ~1.6%. Strong growth is expected in Asia-Pacific, Latin America, and EMEA regions, with Footwear and Apparel driving revenue. However, EBITDA margins are shrinking due to rising expenses or competitive pressures, while high WACC and stable debt ratios suggest manageable financing but a need for better equity valuation.</w:t>
                            </w:r>
                          </w:p>
                          <w:p w14:paraId="101ECACF" w14:textId="44B29DC2" w:rsidR="003534A4" w:rsidRPr="003534A4" w:rsidRDefault="003534A4" w:rsidP="003534A4">
                            <w:pPr>
                              <w:rPr>
                                <w:sz w:val="20"/>
                                <w:szCs w:val="20"/>
                                <w:u w:val="single"/>
                              </w:rPr>
                            </w:pPr>
                          </w:p>
                          <w:p w14:paraId="1B23DB5F" w14:textId="3EF00512" w:rsidR="00017B2B" w:rsidRPr="003534A4" w:rsidRDefault="00017B2B" w:rsidP="00250914">
                            <w:pPr>
                              <w:ind w:firstLine="720"/>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7" type="#_x0000_t202" style="position:absolute;margin-left:260.45pt;margin-top:572.4pt;width:311.65pt;height:14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">
                <v:textbox>
                  <w:txbxContent>
                    <w:p w14:paraId="0B2C1D41" w14:textId="6F48B53C" w:rsidR="003534A4" w:rsidRPr="003534A4" w:rsidRDefault="00017B2B" w:rsidP="003534A4">
                      <w:pPr>
                        <w:jc w:val="both"/>
                        <w:rPr>
                          <w:sz w:val="20"/>
                          <w:szCs w:val="20"/>
                          <w:lang w:val="en-GB"/>
                        </w:rPr>
                      </w:pPr>
                      <w:r w:rsidRPr="003534A4">
                        <w:rPr>
                          <w:b/>
                          <w:bCs/>
                          <w:sz w:val="20"/>
                          <w:szCs w:val="20"/>
                        </w:rPr>
                        <w:t>Point 3:</w:t>
                      </w:r>
                      <w:r w:rsidR="00B92FD6" w:rsidRPr="003534A4">
                        <w:rPr>
                          <w:b/>
                          <w:bCs/>
                          <w:sz w:val="20"/>
                          <w:szCs w:val="20"/>
                        </w:rPr>
                        <w:t xml:space="preserve"> </w:t>
                      </w:r>
                      <w:r w:rsidR="003534A4" w:rsidRPr="003534A4">
                        <w:rPr>
                          <w:sz w:val="20"/>
                          <w:szCs w:val="20"/>
                          <w:lang w:val="en-GB"/>
                        </w:rPr>
                        <w:t>EPS remains steady at 3.83 from 2022-2025, showing flat net profit growth. Forecasted FCFF declines from $8,336M in 2022 to $4,191M in 2025, reflecting rising reinvestment or cash obligations despite stable EBITDA. Capex stays constant at $758M/year, maintaining a steady Capex-to-revenue ratio of ~1.6%. Strong growth is expected in Asia-Pacific, Latin America, and EMEA regions, with Footwear and Apparel driving revenue. However, EBITDA margins are shrinking due to rising expenses or competitive pressures, while high WACC and stable debt ratios suggest manageable financing but a need for better equity valuation.</w:t>
                      </w:r>
                    </w:p>
                    <w:p w14:paraId="366B0B19" w14:textId="77777777" w:rsidR="003534A4" w:rsidRPr="003534A4" w:rsidRDefault="003534A4" w:rsidP="003534A4">
                      <w:pPr>
                        <w:rPr>
                          <w:sz w:val="20"/>
                          <w:szCs w:val="20"/>
                          <w:u w:val="single"/>
                        </w:rPr>
                      </w:pPr>
                    </w:p>
                    <w:p w14:paraId="439598AC" w14:textId="77777777" w:rsidR="00017B2B" w:rsidRPr="003534A4" w:rsidRDefault="00017B2B" w:rsidP="00250914">
                      <w:pPr>
                        <w:ind w:firstLine="720"/>
                        <w:rPr>
                          <w:sz w:val="20"/>
                          <w:szCs w:val="20"/>
                          <w:u w:val="single"/>
                        </w:rPr>
                      </w:pPr>
                    </w:p>
                    <w:p w14:paraId="5D0EC91D" w14:textId="77777777" w:rsidR="00017B2B" w:rsidRDefault="00017B2B"/>
                    <w:p w14:paraId="01160461" w14:textId="1B463414" w:rsidR="003534A4" w:rsidRPr="003534A4" w:rsidRDefault="00017B2B" w:rsidP="003534A4">
                      <w:pPr>
                        <w:jc w:val="both"/>
                        <w:rPr>
                          <w:sz w:val="20"/>
                          <w:szCs w:val="20"/>
                          <w:lang w:val="en-GB"/>
                        </w:rPr>
                      </w:pPr>
                      <w:r w:rsidRPr="003534A4">
                        <w:rPr>
                          <w:b/>
                          <w:bCs/>
                          <w:sz w:val="20"/>
                          <w:szCs w:val="20"/>
                        </w:rPr>
                        <w:t>Point 3:</w:t>
                      </w:r>
                      <w:r w:rsidR="00B92FD6" w:rsidRPr="003534A4">
                        <w:rPr>
                          <w:b/>
                          <w:bCs/>
                          <w:sz w:val="20"/>
                          <w:szCs w:val="20"/>
                        </w:rPr>
                        <w:t xml:space="preserve"> </w:t>
                      </w:r>
                      <w:r w:rsidR="003534A4" w:rsidRPr="003534A4">
                        <w:rPr>
                          <w:sz w:val="20"/>
                          <w:szCs w:val="20"/>
                          <w:lang w:val="en-GB"/>
                        </w:rPr>
                        <w:t>EPS remains steady at 3.83 from 2022-2025, showing flat net profit growth. Forecasted FCFF declines from $8,336M in 2022 to $4,191M in 2025, reflecting rising reinvestment or cash obligations despite stable EBITDA. Capex stays constant at $758M/year, maintaining a steady Capex-to-revenue ratio of ~1.6%. Strong growth is expected in Asia-Pacific, Latin America, and EMEA regions, with Footwear and Apparel driving revenue. However, EBITDA margins are shrinking due to rising expenses or competitive pressures, while high WACC and stable debt ratios suggest manageable financing but a need for better equity valuation.</w:t>
                      </w:r>
                    </w:p>
                    <w:p w14:paraId="101ECACF" w14:textId="44B29DC2" w:rsidR="003534A4" w:rsidRPr="003534A4" w:rsidRDefault="003534A4" w:rsidP="003534A4">
                      <w:pPr>
                        <w:rPr>
                          <w:sz w:val="20"/>
                          <w:szCs w:val="20"/>
                          <w:u w:val="single"/>
                        </w:rPr>
                      </w:pPr>
                    </w:p>
                    <w:p w14:paraId="1B23DB5F" w14:textId="3EF00512" w:rsidR="00017B2B" w:rsidRPr="003534A4" w:rsidRDefault="00017B2B" w:rsidP="00250914">
                      <w:pPr>
                        <w:ind w:firstLine="720"/>
                        <w:rPr>
                          <w:sz w:val="20"/>
                          <w:szCs w:val="20"/>
                          <w:u w:val="single"/>
                        </w:rPr>
                      </w:pPr>
                    </w:p>
                  </w:txbxContent>
                </v:textbox>
                <w10:wrap type="square" anchorx="margin"/>
              </v:shape>
            </w:pict>
          </mc:Fallback>
        </mc:AlternateContent>
      </w:r>
      <w:r w:rsidR="003507F4">
        <w:rPr>
          <w:noProof/>
        </w:rPr>
        <mc:AlternateContent>
          <mc:Choice Requires="wps">
            <w:drawing>
              <wp:anchor distT="45720" distB="45720" distL="114300" distR="114300" simplePos="0" relativeHeight="251662336" behindDoc="0" locked="0" layoutInCell="1" allowOverlap="1" wp14:anchorId="08B56C2A" wp14:editId="646A886B">
                <wp:simplePos x="0" y="0"/>
                <wp:positionH relativeFrom="margin">
                  <wp:posOffset>2899410</wp:posOffset>
                </wp:positionH>
                <wp:positionV relativeFrom="paragraph">
                  <wp:posOffset>1430020</wp:posOffset>
                </wp:positionV>
                <wp:extent cx="3941445" cy="1259205"/>
                <wp:effectExtent l="0" t="0" r="2095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1259205"/>
                        </a:xfrm>
                        <a:prstGeom prst="rect">
                          <a:avLst/>
                        </a:prstGeom>
                        <a:solidFill>
                          <a:srgbClr val="FFFFFF"/>
                        </a:solidFill>
                        <a:ln w="9525">
                          <a:solidFill>
                            <a:srgbClr val="000000"/>
                          </a:solidFill>
                          <a:miter lim="800000"/>
                          <a:headEnd/>
                          <a:tailEnd/>
                        </a:ln>
                      </wps:spPr>
                      <wps:txbx>
                        <w:txbxContent>
                          <w:p w14:paraId="7DF9110F" w14:textId="767B411B" w:rsidR="0002299D" w:rsidRPr="006A5363" w:rsidRDefault="00017B2B" w:rsidP="0002299D">
                            <w:pPr>
                              <w:jc w:val="both"/>
                              <w:rPr>
                                <w:sz w:val="20"/>
                                <w:szCs w:val="20"/>
                                <w:lang w:val="en-GB"/>
                              </w:rPr>
                            </w:pPr>
                            <w:r w:rsidRPr="003507F4">
                              <w:rPr>
                                <w:b/>
                                <w:bCs/>
                                <w:sz w:val="20"/>
                                <w:szCs w:val="20"/>
                              </w:rPr>
                              <w:t>Investment thesis:</w:t>
                            </w:r>
                            <w:r w:rsidR="0002299D" w:rsidRPr="003507F4">
                              <w:rPr>
                                <w:b/>
                                <w:bCs/>
                                <w:sz w:val="20"/>
                                <w:szCs w:val="20"/>
                              </w:rPr>
                              <w:t xml:space="preserve"> </w:t>
                            </w:r>
                            <w:r w:rsidR="0002299D" w:rsidRPr="006A5363">
                              <w:rPr>
                                <w:sz w:val="20"/>
                                <w:szCs w:val="20"/>
                                <w:lang w:val="en-GB"/>
                              </w:rPr>
                              <w:t>The stock's expected for NIKE INC, highlights a declining trend in valuation and equity value per share, indicating potential challenges for investors:</w:t>
                            </w:r>
                            <w:r w:rsidR="0002299D" w:rsidRPr="003507F4">
                              <w:rPr>
                                <w:sz w:val="20"/>
                                <w:szCs w:val="20"/>
                                <w:lang w:val="en-GB"/>
                              </w:rPr>
                              <w:t xml:space="preserve"> </w:t>
                            </w:r>
                            <w:r w:rsidR="0002299D" w:rsidRPr="006A5363">
                              <w:rPr>
                                <w:b/>
                                <w:bCs/>
                                <w:sz w:val="20"/>
                                <w:szCs w:val="20"/>
                                <w:lang w:val="en-GB"/>
                              </w:rPr>
                              <w:t>Share Price and Equity Value</w:t>
                            </w:r>
                            <w:r w:rsidR="0002299D" w:rsidRPr="003507F4">
                              <w:rPr>
                                <w:sz w:val="20"/>
                                <w:szCs w:val="20"/>
                                <w:lang w:val="en-GB"/>
                              </w:rPr>
                              <w:t xml:space="preserve">, </w:t>
                            </w:r>
                            <w:r w:rsidR="0002299D" w:rsidRPr="006A5363">
                              <w:rPr>
                                <w:b/>
                                <w:bCs/>
                                <w:sz w:val="20"/>
                                <w:szCs w:val="20"/>
                                <w:lang w:val="en-GB"/>
                              </w:rPr>
                              <w:t>Valuation Multiples</w:t>
                            </w:r>
                            <w:r w:rsidR="0002299D" w:rsidRPr="003507F4">
                              <w:rPr>
                                <w:sz w:val="20"/>
                                <w:szCs w:val="20"/>
                                <w:lang w:val="en-GB"/>
                              </w:rPr>
                              <w:t xml:space="preserve">, </w:t>
                            </w:r>
                            <w:r w:rsidR="0002299D" w:rsidRPr="006A5363">
                              <w:rPr>
                                <w:b/>
                                <w:bCs/>
                                <w:sz w:val="20"/>
                                <w:szCs w:val="20"/>
                                <w:lang w:val="en-GB"/>
                              </w:rPr>
                              <w:t>Free Cash Flow and Firm Value</w:t>
                            </w:r>
                            <w:r w:rsidR="0002299D" w:rsidRPr="003507F4">
                              <w:rPr>
                                <w:sz w:val="20"/>
                                <w:szCs w:val="20"/>
                                <w:lang w:val="en-GB"/>
                              </w:rPr>
                              <w:t xml:space="preserve">, </w:t>
                            </w:r>
                            <w:r w:rsidR="0002299D" w:rsidRPr="006A5363">
                              <w:rPr>
                                <w:b/>
                                <w:bCs/>
                                <w:sz w:val="20"/>
                                <w:szCs w:val="20"/>
                                <w:lang w:val="en-GB"/>
                              </w:rPr>
                              <w:t>Profitability and Leverage</w:t>
                            </w:r>
                            <w:r w:rsidR="0002299D" w:rsidRPr="003507F4">
                              <w:rPr>
                                <w:sz w:val="20"/>
                                <w:szCs w:val="20"/>
                                <w:lang w:val="en-GB"/>
                              </w:rPr>
                              <w:t>.</w:t>
                            </w:r>
                            <w:r w:rsidR="00623A5C" w:rsidRPr="003507F4">
                              <w:rPr>
                                <w:sz w:val="20"/>
                                <w:szCs w:val="20"/>
                                <w:lang w:val="en-GB"/>
                              </w:rPr>
                              <w:t xml:space="preserve"> </w:t>
                            </w:r>
                            <w:r w:rsidR="0002299D" w:rsidRPr="006A5363">
                              <w:rPr>
                                <w:sz w:val="20"/>
                                <w:szCs w:val="20"/>
                                <w:lang w:val="en-GB"/>
                              </w:rPr>
                              <w:t>In summary, the model forecasts falling share prices and equity values, driven by declining profitability and firm valuation despite stable debt ratios.</w:t>
                            </w:r>
                          </w:p>
                          <w:p w14:paraId="57106E26" w14:textId="77777777" w:rsidR="0002299D" w:rsidRPr="0002299D" w:rsidRDefault="0002299D" w:rsidP="0002299D">
                            <w:pPr>
                              <w:jc w:val="both"/>
                              <w:rPr>
                                <w:b/>
                                <w:bCs/>
                                <w:lang w:val="en-GB"/>
                              </w:rPr>
                            </w:pPr>
                            <w:r w:rsidRPr="0002299D">
                              <w:rPr>
                                <w:b/>
                                <w:bCs/>
                                <w:lang w:val="en-GB"/>
                              </w:rPr>
                              <w:t>Profitability and Leverage: ROE decreases from 39.57% to 34.30%, and debt ratios remain stable, indicating consistent leverage but weakening efficiency in generating returns for shareholders.</w:t>
                            </w:r>
                          </w:p>
                          <w:p w14:paraId="2C5E91D4" w14:textId="77777777" w:rsidR="0002299D" w:rsidRPr="0002299D" w:rsidRDefault="0002299D" w:rsidP="0002299D">
                            <w:pPr>
                              <w:jc w:val="both"/>
                              <w:rPr>
                                <w:b/>
                                <w:bCs/>
                                <w:lang w:val="en-GB"/>
                              </w:rPr>
                            </w:pPr>
                            <w:r w:rsidRPr="0002299D">
                              <w:rPr>
                                <w:b/>
                                <w:bCs/>
                                <w:lang w:val="en-GB"/>
                              </w:rPr>
                              <w:t>In summary, the model forecasts falling share prices and equity values, driven by declining profitability and firm valuation despite stable debt ratios.</w:t>
                            </w:r>
                          </w:p>
                          <w:p w14:paraId="430D4CAE" w14:textId="77777777" w:rsidR="00B92FD6" w:rsidRPr="0002299D" w:rsidRDefault="00B92FD6" w:rsidP="0002299D">
                            <w:pPr>
                              <w:jc w:val="both"/>
                              <w:rPr>
                                <w:b/>
                                <w:bCs/>
                              </w:rPr>
                            </w:pPr>
                          </w:p>
                          <w:p w14:paraId="704380CE" w14:textId="77777777" w:rsidR="00B92FD6" w:rsidRDefault="00B92FD6"/>
                          <w:p w14:paraId="111FCE51" w14:textId="68B1579E" w:rsidR="0002299D" w:rsidRPr="006A5363" w:rsidRDefault="00017B2B" w:rsidP="0002299D">
                            <w:pPr>
                              <w:jc w:val="both"/>
                              <w:rPr>
                                <w:sz w:val="20"/>
                                <w:szCs w:val="20"/>
                                <w:lang w:val="en-GB"/>
                              </w:rPr>
                            </w:pPr>
                            <w:r w:rsidRPr="003507F4">
                              <w:rPr>
                                <w:b/>
                                <w:bCs/>
                                <w:sz w:val="20"/>
                                <w:szCs w:val="20"/>
                              </w:rPr>
                              <w:t>Investment thesis:</w:t>
                            </w:r>
                            <w:r w:rsidR="0002299D" w:rsidRPr="003507F4">
                              <w:rPr>
                                <w:b/>
                                <w:bCs/>
                                <w:sz w:val="20"/>
                                <w:szCs w:val="20"/>
                              </w:rPr>
                              <w:t xml:space="preserve"> </w:t>
                            </w:r>
                            <w:r w:rsidR="0002299D" w:rsidRPr="006A5363">
                              <w:rPr>
                                <w:sz w:val="20"/>
                                <w:szCs w:val="20"/>
                                <w:lang w:val="en-GB"/>
                              </w:rPr>
                              <w:t>The stock's expected for NIKE INC, highlights a declining trend in valuation and equity value per share, indicating potential challenges for investors:</w:t>
                            </w:r>
                            <w:r w:rsidR="0002299D" w:rsidRPr="003507F4">
                              <w:rPr>
                                <w:sz w:val="20"/>
                                <w:szCs w:val="20"/>
                                <w:lang w:val="en-GB"/>
                              </w:rPr>
                              <w:t xml:space="preserve"> </w:t>
                            </w:r>
                            <w:r w:rsidR="0002299D" w:rsidRPr="006A5363">
                              <w:rPr>
                                <w:b/>
                                <w:bCs/>
                                <w:sz w:val="20"/>
                                <w:szCs w:val="20"/>
                                <w:lang w:val="en-GB"/>
                              </w:rPr>
                              <w:t>Share Price and Equity Value</w:t>
                            </w:r>
                            <w:r w:rsidR="0002299D" w:rsidRPr="003507F4">
                              <w:rPr>
                                <w:sz w:val="20"/>
                                <w:szCs w:val="20"/>
                                <w:lang w:val="en-GB"/>
                              </w:rPr>
                              <w:t xml:space="preserve">, </w:t>
                            </w:r>
                            <w:r w:rsidR="0002299D" w:rsidRPr="006A5363">
                              <w:rPr>
                                <w:b/>
                                <w:bCs/>
                                <w:sz w:val="20"/>
                                <w:szCs w:val="20"/>
                                <w:lang w:val="en-GB"/>
                              </w:rPr>
                              <w:t>Valuation Multiples</w:t>
                            </w:r>
                            <w:r w:rsidR="0002299D" w:rsidRPr="003507F4">
                              <w:rPr>
                                <w:sz w:val="20"/>
                                <w:szCs w:val="20"/>
                                <w:lang w:val="en-GB"/>
                              </w:rPr>
                              <w:t xml:space="preserve">, </w:t>
                            </w:r>
                            <w:r w:rsidR="0002299D" w:rsidRPr="006A5363">
                              <w:rPr>
                                <w:b/>
                                <w:bCs/>
                                <w:sz w:val="20"/>
                                <w:szCs w:val="20"/>
                                <w:lang w:val="en-GB"/>
                              </w:rPr>
                              <w:t>Free Cash Flow and Firm Value</w:t>
                            </w:r>
                            <w:r w:rsidR="0002299D" w:rsidRPr="003507F4">
                              <w:rPr>
                                <w:sz w:val="20"/>
                                <w:szCs w:val="20"/>
                                <w:lang w:val="en-GB"/>
                              </w:rPr>
                              <w:t xml:space="preserve">, </w:t>
                            </w:r>
                            <w:r w:rsidR="0002299D" w:rsidRPr="006A5363">
                              <w:rPr>
                                <w:b/>
                                <w:bCs/>
                                <w:sz w:val="20"/>
                                <w:szCs w:val="20"/>
                                <w:lang w:val="en-GB"/>
                              </w:rPr>
                              <w:t>Profitability and Leverage</w:t>
                            </w:r>
                            <w:r w:rsidR="0002299D" w:rsidRPr="003507F4">
                              <w:rPr>
                                <w:sz w:val="20"/>
                                <w:szCs w:val="20"/>
                                <w:lang w:val="en-GB"/>
                              </w:rPr>
                              <w:t>.</w:t>
                            </w:r>
                            <w:r w:rsidR="00623A5C" w:rsidRPr="003507F4">
                              <w:rPr>
                                <w:sz w:val="20"/>
                                <w:szCs w:val="20"/>
                                <w:lang w:val="en-GB"/>
                              </w:rPr>
                              <w:t xml:space="preserve"> </w:t>
                            </w:r>
                            <w:r w:rsidR="0002299D" w:rsidRPr="006A5363">
                              <w:rPr>
                                <w:sz w:val="20"/>
                                <w:szCs w:val="20"/>
                                <w:lang w:val="en-GB"/>
                              </w:rPr>
                              <w:t>In summary, the model forecasts falling share prices and equity values, driven by declining profitability and firm valuation despite stable debt ratios.</w:t>
                            </w:r>
                          </w:p>
                          <w:p w14:paraId="7BA63C78" w14:textId="0C3AAEDB" w:rsidR="0002299D" w:rsidRPr="0002299D" w:rsidRDefault="0002299D" w:rsidP="0002299D">
                            <w:pPr>
                              <w:jc w:val="both"/>
                              <w:rPr>
                                <w:b/>
                                <w:bCs/>
                                <w:lang w:val="en-GB"/>
                              </w:rPr>
                            </w:pPr>
                            <w:r w:rsidRPr="0002299D">
                              <w:rPr>
                                <w:b/>
                                <w:bCs/>
                                <w:lang w:val="en-GB"/>
                              </w:rPr>
                              <w:t>Profitability and Leverage: ROE decreases from 39.57% to 34.30%, and debt ratios remain stable, indicating consistent leverage but weakening efficiency in generating returns for shareholders.</w:t>
                            </w:r>
                          </w:p>
                          <w:p w14:paraId="336AD24A" w14:textId="77777777" w:rsidR="0002299D" w:rsidRPr="0002299D" w:rsidRDefault="0002299D" w:rsidP="0002299D">
                            <w:pPr>
                              <w:jc w:val="both"/>
                              <w:rPr>
                                <w:b/>
                                <w:bCs/>
                                <w:lang w:val="en-GB"/>
                              </w:rPr>
                            </w:pPr>
                            <w:r w:rsidRPr="0002299D">
                              <w:rPr>
                                <w:b/>
                                <w:bCs/>
                                <w:lang w:val="en-GB"/>
                              </w:rPr>
                              <w:t>In summary, the model forecasts falling share prices and equity values, driven by declining profitability and firm valuation despite stable debt ratios.</w:t>
                            </w:r>
                          </w:p>
                          <w:p w14:paraId="6DF181F3" w14:textId="24121CC1" w:rsidR="00B92FD6" w:rsidRPr="0002299D" w:rsidRDefault="00B92FD6" w:rsidP="0002299D">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8" type="#_x0000_t202" style="position:absolute;margin-left:228.3pt;margin-top:112.6pt;width:310.35pt;height:99.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">
                <v:textbox>
                  <w:txbxContent>
                    <w:p w14:paraId="7DF9110F" w14:textId="767B411B" w:rsidR="0002299D" w:rsidRPr="006A5363" w:rsidRDefault="00017B2B" w:rsidP="0002299D">
                      <w:pPr>
                        <w:jc w:val="both"/>
                        <w:rPr>
                          <w:sz w:val="20"/>
                          <w:szCs w:val="20"/>
                          <w:lang w:val="en-GB"/>
                        </w:rPr>
                      </w:pPr>
                      <w:r w:rsidRPr="003507F4">
                        <w:rPr>
                          <w:b/>
                          <w:bCs/>
                          <w:sz w:val="20"/>
                          <w:szCs w:val="20"/>
                        </w:rPr>
                        <w:t>Investment thesis:</w:t>
                      </w:r>
                      <w:r w:rsidR="0002299D" w:rsidRPr="003507F4">
                        <w:rPr>
                          <w:b/>
                          <w:bCs/>
                          <w:sz w:val="20"/>
                          <w:szCs w:val="20"/>
                        </w:rPr>
                        <w:t xml:space="preserve"> </w:t>
                      </w:r>
                      <w:r w:rsidR="0002299D" w:rsidRPr="006A5363">
                        <w:rPr>
                          <w:sz w:val="20"/>
                          <w:szCs w:val="20"/>
                          <w:lang w:val="en-GB"/>
                        </w:rPr>
                        <w:t>The stock's expected for NIKE INC, highlights a declining trend in valuation and equity value per share, indicating potential challenges for investors:</w:t>
                      </w:r>
                      <w:r w:rsidR="0002299D" w:rsidRPr="003507F4">
                        <w:rPr>
                          <w:sz w:val="20"/>
                          <w:szCs w:val="20"/>
                          <w:lang w:val="en-GB"/>
                        </w:rPr>
                        <w:t xml:space="preserve"> </w:t>
                      </w:r>
                      <w:r w:rsidR="0002299D" w:rsidRPr="006A5363">
                        <w:rPr>
                          <w:b/>
                          <w:bCs/>
                          <w:sz w:val="20"/>
                          <w:szCs w:val="20"/>
                          <w:lang w:val="en-GB"/>
                        </w:rPr>
                        <w:t>Share Price and Equity Value</w:t>
                      </w:r>
                      <w:r w:rsidR="0002299D" w:rsidRPr="003507F4">
                        <w:rPr>
                          <w:sz w:val="20"/>
                          <w:szCs w:val="20"/>
                          <w:lang w:val="en-GB"/>
                        </w:rPr>
                        <w:t xml:space="preserve">, </w:t>
                      </w:r>
                      <w:r w:rsidR="0002299D" w:rsidRPr="006A5363">
                        <w:rPr>
                          <w:b/>
                          <w:bCs/>
                          <w:sz w:val="20"/>
                          <w:szCs w:val="20"/>
                          <w:lang w:val="en-GB"/>
                        </w:rPr>
                        <w:t>Valuation Multiples</w:t>
                      </w:r>
                      <w:r w:rsidR="0002299D" w:rsidRPr="003507F4">
                        <w:rPr>
                          <w:sz w:val="20"/>
                          <w:szCs w:val="20"/>
                          <w:lang w:val="en-GB"/>
                        </w:rPr>
                        <w:t xml:space="preserve">, </w:t>
                      </w:r>
                      <w:r w:rsidR="0002299D" w:rsidRPr="006A5363">
                        <w:rPr>
                          <w:b/>
                          <w:bCs/>
                          <w:sz w:val="20"/>
                          <w:szCs w:val="20"/>
                          <w:lang w:val="en-GB"/>
                        </w:rPr>
                        <w:t>Free Cash Flow and Firm Value</w:t>
                      </w:r>
                      <w:r w:rsidR="0002299D" w:rsidRPr="003507F4">
                        <w:rPr>
                          <w:sz w:val="20"/>
                          <w:szCs w:val="20"/>
                          <w:lang w:val="en-GB"/>
                        </w:rPr>
                        <w:t xml:space="preserve">, </w:t>
                      </w:r>
                      <w:r w:rsidR="0002299D" w:rsidRPr="006A5363">
                        <w:rPr>
                          <w:b/>
                          <w:bCs/>
                          <w:sz w:val="20"/>
                          <w:szCs w:val="20"/>
                          <w:lang w:val="en-GB"/>
                        </w:rPr>
                        <w:t>Profitability and Leverage</w:t>
                      </w:r>
                      <w:r w:rsidR="0002299D" w:rsidRPr="003507F4">
                        <w:rPr>
                          <w:sz w:val="20"/>
                          <w:szCs w:val="20"/>
                          <w:lang w:val="en-GB"/>
                        </w:rPr>
                        <w:t>.</w:t>
                      </w:r>
                      <w:r w:rsidR="00623A5C" w:rsidRPr="003507F4">
                        <w:rPr>
                          <w:sz w:val="20"/>
                          <w:szCs w:val="20"/>
                          <w:lang w:val="en-GB"/>
                        </w:rPr>
                        <w:t xml:space="preserve"> </w:t>
                      </w:r>
                      <w:r w:rsidR="0002299D" w:rsidRPr="006A5363">
                        <w:rPr>
                          <w:sz w:val="20"/>
                          <w:szCs w:val="20"/>
                          <w:lang w:val="en-GB"/>
                        </w:rPr>
                        <w:t>In summary, the model forecasts falling share prices and equity values, driven by declining profitability and firm valuation despite stable debt ratios.</w:t>
                      </w:r>
                    </w:p>
                    <w:p w14:paraId="57106E26" w14:textId="77777777" w:rsidR="0002299D" w:rsidRPr="0002299D" w:rsidRDefault="0002299D" w:rsidP="0002299D">
                      <w:pPr>
                        <w:jc w:val="both"/>
                        <w:rPr>
                          <w:b/>
                          <w:bCs/>
                          <w:lang w:val="en-GB"/>
                        </w:rPr>
                      </w:pPr>
                      <w:r w:rsidRPr="0002299D">
                        <w:rPr>
                          <w:b/>
                          <w:bCs/>
                          <w:lang w:val="en-GB"/>
                        </w:rPr>
                        <w:t>Profitability and Leverage: ROE decreases from 39.57% to 34.30%, and debt ratios remain stable, indicating consistent leverage but weakening efficiency in generating returns for shareholders.</w:t>
                      </w:r>
                    </w:p>
                    <w:p w14:paraId="2C5E91D4" w14:textId="77777777" w:rsidR="0002299D" w:rsidRPr="0002299D" w:rsidRDefault="0002299D" w:rsidP="0002299D">
                      <w:pPr>
                        <w:jc w:val="both"/>
                        <w:rPr>
                          <w:b/>
                          <w:bCs/>
                          <w:lang w:val="en-GB"/>
                        </w:rPr>
                      </w:pPr>
                      <w:r w:rsidRPr="0002299D">
                        <w:rPr>
                          <w:b/>
                          <w:bCs/>
                          <w:lang w:val="en-GB"/>
                        </w:rPr>
                        <w:t>In summary, the model forecasts falling share prices and equity values, driven by declining profitability and firm valuation despite stable debt ratios.</w:t>
                      </w:r>
                    </w:p>
                    <w:p w14:paraId="430D4CAE" w14:textId="77777777" w:rsidR="00B92FD6" w:rsidRPr="0002299D" w:rsidRDefault="00B92FD6" w:rsidP="0002299D">
                      <w:pPr>
                        <w:jc w:val="both"/>
                        <w:rPr>
                          <w:b/>
                          <w:bCs/>
                        </w:rPr>
                      </w:pPr>
                    </w:p>
                    <w:p w14:paraId="704380CE" w14:textId="77777777" w:rsidR="00B92FD6" w:rsidRDefault="00B92FD6"/>
                    <w:p w14:paraId="111FCE51" w14:textId="68B1579E" w:rsidR="0002299D" w:rsidRPr="006A5363" w:rsidRDefault="00017B2B" w:rsidP="0002299D">
                      <w:pPr>
                        <w:jc w:val="both"/>
                        <w:rPr>
                          <w:sz w:val="20"/>
                          <w:szCs w:val="20"/>
                          <w:lang w:val="en-GB"/>
                        </w:rPr>
                      </w:pPr>
                      <w:r w:rsidRPr="003507F4">
                        <w:rPr>
                          <w:b/>
                          <w:bCs/>
                          <w:sz w:val="20"/>
                          <w:szCs w:val="20"/>
                        </w:rPr>
                        <w:t>Investment thesis:</w:t>
                      </w:r>
                      <w:r w:rsidR="0002299D" w:rsidRPr="003507F4">
                        <w:rPr>
                          <w:b/>
                          <w:bCs/>
                          <w:sz w:val="20"/>
                          <w:szCs w:val="20"/>
                        </w:rPr>
                        <w:t xml:space="preserve"> </w:t>
                      </w:r>
                      <w:r w:rsidR="0002299D" w:rsidRPr="006A5363">
                        <w:rPr>
                          <w:sz w:val="20"/>
                          <w:szCs w:val="20"/>
                          <w:lang w:val="en-GB"/>
                        </w:rPr>
                        <w:t>The stock's expected for NIKE INC, highlights a declining trend in valuation and equity value per share, indicating potential challenges for investors:</w:t>
                      </w:r>
                      <w:r w:rsidR="0002299D" w:rsidRPr="003507F4">
                        <w:rPr>
                          <w:sz w:val="20"/>
                          <w:szCs w:val="20"/>
                          <w:lang w:val="en-GB"/>
                        </w:rPr>
                        <w:t xml:space="preserve"> </w:t>
                      </w:r>
                      <w:r w:rsidR="0002299D" w:rsidRPr="006A5363">
                        <w:rPr>
                          <w:b/>
                          <w:bCs/>
                          <w:sz w:val="20"/>
                          <w:szCs w:val="20"/>
                          <w:lang w:val="en-GB"/>
                        </w:rPr>
                        <w:t>Share Price and Equity Value</w:t>
                      </w:r>
                      <w:r w:rsidR="0002299D" w:rsidRPr="003507F4">
                        <w:rPr>
                          <w:sz w:val="20"/>
                          <w:szCs w:val="20"/>
                          <w:lang w:val="en-GB"/>
                        </w:rPr>
                        <w:t xml:space="preserve">, </w:t>
                      </w:r>
                      <w:r w:rsidR="0002299D" w:rsidRPr="006A5363">
                        <w:rPr>
                          <w:b/>
                          <w:bCs/>
                          <w:sz w:val="20"/>
                          <w:szCs w:val="20"/>
                          <w:lang w:val="en-GB"/>
                        </w:rPr>
                        <w:t>Valuation Multiples</w:t>
                      </w:r>
                      <w:r w:rsidR="0002299D" w:rsidRPr="003507F4">
                        <w:rPr>
                          <w:sz w:val="20"/>
                          <w:szCs w:val="20"/>
                          <w:lang w:val="en-GB"/>
                        </w:rPr>
                        <w:t xml:space="preserve">, </w:t>
                      </w:r>
                      <w:r w:rsidR="0002299D" w:rsidRPr="006A5363">
                        <w:rPr>
                          <w:b/>
                          <w:bCs/>
                          <w:sz w:val="20"/>
                          <w:szCs w:val="20"/>
                          <w:lang w:val="en-GB"/>
                        </w:rPr>
                        <w:t>Free Cash Flow and Firm Value</w:t>
                      </w:r>
                      <w:r w:rsidR="0002299D" w:rsidRPr="003507F4">
                        <w:rPr>
                          <w:sz w:val="20"/>
                          <w:szCs w:val="20"/>
                          <w:lang w:val="en-GB"/>
                        </w:rPr>
                        <w:t xml:space="preserve">, </w:t>
                      </w:r>
                      <w:r w:rsidR="0002299D" w:rsidRPr="006A5363">
                        <w:rPr>
                          <w:b/>
                          <w:bCs/>
                          <w:sz w:val="20"/>
                          <w:szCs w:val="20"/>
                          <w:lang w:val="en-GB"/>
                        </w:rPr>
                        <w:t>Profitability and Leverage</w:t>
                      </w:r>
                      <w:r w:rsidR="0002299D" w:rsidRPr="003507F4">
                        <w:rPr>
                          <w:sz w:val="20"/>
                          <w:szCs w:val="20"/>
                          <w:lang w:val="en-GB"/>
                        </w:rPr>
                        <w:t>.</w:t>
                      </w:r>
                      <w:r w:rsidR="00623A5C" w:rsidRPr="003507F4">
                        <w:rPr>
                          <w:sz w:val="20"/>
                          <w:szCs w:val="20"/>
                          <w:lang w:val="en-GB"/>
                        </w:rPr>
                        <w:t xml:space="preserve"> </w:t>
                      </w:r>
                      <w:r w:rsidR="0002299D" w:rsidRPr="006A5363">
                        <w:rPr>
                          <w:sz w:val="20"/>
                          <w:szCs w:val="20"/>
                          <w:lang w:val="en-GB"/>
                        </w:rPr>
                        <w:t>In summary, the model forecasts falling share prices and equity values, driven by declining profitability and firm valuation despite stable debt ratios.</w:t>
                      </w:r>
                    </w:p>
                    <w:p w14:paraId="7BA63C78" w14:textId="0C3AAEDB" w:rsidR="0002299D" w:rsidRPr="0002299D" w:rsidRDefault="0002299D" w:rsidP="0002299D">
                      <w:pPr>
                        <w:jc w:val="both"/>
                        <w:rPr>
                          <w:b/>
                          <w:bCs/>
                          <w:lang w:val="en-GB"/>
                        </w:rPr>
                      </w:pPr>
                      <w:r w:rsidRPr="0002299D">
                        <w:rPr>
                          <w:b/>
                          <w:bCs/>
                          <w:lang w:val="en-GB"/>
                        </w:rPr>
                        <w:t>Profitability and Leverage: ROE decreases from 39.57% to 34.30%, and debt ratios remain stable, indicating consistent leverage but weakening efficiency in generating returns for shareholders.</w:t>
                      </w:r>
                    </w:p>
                    <w:p w14:paraId="336AD24A" w14:textId="77777777" w:rsidR="0002299D" w:rsidRPr="0002299D" w:rsidRDefault="0002299D" w:rsidP="0002299D">
                      <w:pPr>
                        <w:jc w:val="both"/>
                        <w:rPr>
                          <w:b/>
                          <w:bCs/>
                          <w:lang w:val="en-GB"/>
                        </w:rPr>
                      </w:pPr>
                      <w:r w:rsidRPr="0002299D">
                        <w:rPr>
                          <w:b/>
                          <w:bCs/>
                          <w:lang w:val="en-GB"/>
                        </w:rPr>
                        <w:t>In summary, the model forecasts falling share prices and equity values, driven by declining profitability and firm valuation despite stable debt ratios.</w:t>
                      </w:r>
                    </w:p>
                    <w:p w14:paraId="6DF181F3" w14:textId="24121CC1" w:rsidR="00B92FD6" w:rsidRPr="0002299D" w:rsidRDefault="00B92FD6" w:rsidP="0002299D">
                      <w:pPr>
                        <w:jc w:val="both"/>
                        <w:rPr>
                          <w:b/>
                          <w:bCs/>
                        </w:rPr>
                      </w:pPr>
                    </w:p>
                  </w:txbxContent>
                </v:textbox>
                <w10:wrap type="square" anchorx="margin"/>
              </v:shape>
            </w:pict>
          </mc:Fallback>
        </mc:AlternateContent>
      </w:r>
      <w:r w:rsidR="003507F4">
        <w:rPr>
          <w:noProof/>
        </w:rPr>
        <mc:AlternateContent>
          <mc:Choice Requires="wps">
            <w:drawing>
              <wp:anchor distT="45720" distB="45720" distL="114300" distR="114300" simplePos="0" relativeHeight="251657216" behindDoc="0" locked="0" layoutInCell="1" allowOverlap="1" wp14:anchorId="62A4B6EE" wp14:editId="58A90E73">
                <wp:simplePos x="0" y="0"/>
                <wp:positionH relativeFrom="margin">
                  <wp:align>right</wp:align>
                </wp:positionH>
                <wp:positionV relativeFrom="paragraph">
                  <wp:posOffset>0</wp:posOffset>
                </wp:positionV>
                <wp:extent cx="6842760" cy="12471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247503"/>
                        </a:xfrm>
                        <a:prstGeom prst="rect">
                          <a:avLst/>
                        </a:prstGeom>
                        <a:solidFill>
                          <a:srgbClr val="FFFFFF"/>
                        </a:solidFill>
                        <a:ln w="9525">
                          <a:solidFill>
                            <a:srgbClr val="000000"/>
                          </a:solidFill>
                          <a:miter lim="800000"/>
                          <a:headEnd/>
                          <a:tailEnd/>
                        </a:ln>
                      </wps:spPr>
                      <wps:txbx>
                        <w:txbxContent>
                          <w:p w14:paraId="25CEBCDC" w14:textId="7649700A" w:rsidR="00017B2B" w:rsidRPr="003507F4" w:rsidRDefault="00017B2B">
                            <w:pPr>
                              <w:rPr>
                                <w:sz w:val="20"/>
                                <w:szCs w:val="20"/>
                              </w:rPr>
                            </w:pPr>
                            <w:r w:rsidRPr="003507F4">
                              <w:rPr>
                                <w:sz w:val="20"/>
                                <w:szCs w:val="20"/>
                              </w:rPr>
                              <w:t>Company Name</w:t>
                            </w:r>
                            <w:r w:rsidR="003D358D" w:rsidRPr="003507F4">
                              <w:rPr>
                                <w:sz w:val="20"/>
                                <w:szCs w:val="20"/>
                              </w:rPr>
                              <w:t xml:space="preserve">: </w:t>
                            </w:r>
                            <w:r w:rsidR="003D358D" w:rsidRPr="003507F4">
                              <w:rPr>
                                <w:b/>
                                <w:bCs/>
                                <w:sz w:val="20"/>
                                <w:szCs w:val="20"/>
                              </w:rPr>
                              <w:t>NIKE</w:t>
                            </w:r>
                            <w:r w:rsidR="006C6B65" w:rsidRPr="003507F4">
                              <w:rPr>
                                <w:b/>
                                <w:bCs/>
                                <w:sz w:val="20"/>
                                <w:szCs w:val="20"/>
                              </w:rPr>
                              <w:t>,</w:t>
                            </w:r>
                            <w:r w:rsidR="003D358D" w:rsidRPr="003507F4">
                              <w:rPr>
                                <w:b/>
                                <w:bCs/>
                                <w:sz w:val="20"/>
                                <w:szCs w:val="20"/>
                              </w:rPr>
                              <w:t xml:space="preserve"> INC.</w:t>
                            </w:r>
                          </w:p>
                          <w:p w14:paraId="4696F081" w14:textId="21B34ACD" w:rsidR="00017B2B" w:rsidRPr="003507F4" w:rsidRDefault="00017B2B">
                            <w:pPr>
                              <w:rPr>
                                <w:sz w:val="20"/>
                                <w:szCs w:val="20"/>
                              </w:rPr>
                            </w:pPr>
                            <w:r w:rsidRPr="003507F4">
                              <w:rPr>
                                <w:sz w:val="20"/>
                                <w:szCs w:val="20"/>
                              </w:rPr>
                              <w:t>Ticker</w:t>
                            </w:r>
                            <w:r w:rsidR="003D358D" w:rsidRPr="003507F4">
                              <w:rPr>
                                <w:sz w:val="20"/>
                                <w:szCs w:val="20"/>
                              </w:rPr>
                              <w:t xml:space="preserve">: </w:t>
                            </w:r>
                            <w:r w:rsidR="006C6B65" w:rsidRPr="003507F4">
                              <w:rPr>
                                <w:b/>
                                <w:bCs/>
                                <w:sz w:val="20"/>
                                <w:szCs w:val="20"/>
                              </w:rPr>
                              <w:t>(</w:t>
                            </w:r>
                            <w:r w:rsidR="00E206E6" w:rsidRPr="003507F4">
                              <w:rPr>
                                <w:b/>
                                <w:bCs/>
                                <w:sz w:val="20"/>
                                <w:szCs w:val="20"/>
                              </w:rPr>
                              <w:t>NKE</w:t>
                            </w:r>
                            <w:r w:rsidR="006C6B65" w:rsidRPr="003507F4">
                              <w:rPr>
                                <w:b/>
                                <w:bCs/>
                                <w:sz w:val="20"/>
                                <w:szCs w:val="20"/>
                              </w:rPr>
                              <w:t>)</w:t>
                            </w:r>
                          </w:p>
                          <w:p w14:paraId="7B155A12" w14:textId="1DC25219" w:rsidR="00017B2B" w:rsidRPr="003507F4" w:rsidRDefault="00017B2B">
                            <w:pPr>
                              <w:rPr>
                                <w:sz w:val="20"/>
                                <w:szCs w:val="20"/>
                              </w:rPr>
                            </w:pPr>
                            <w:r w:rsidRPr="003507F4">
                              <w:rPr>
                                <w:sz w:val="20"/>
                                <w:szCs w:val="20"/>
                              </w:rPr>
                              <w:t xml:space="preserve">Current </w:t>
                            </w:r>
                            <w:r w:rsidR="00B92FD6" w:rsidRPr="003507F4">
                              <w:rPr>
                                <w:sz w:val="20"/>
                                <w:szCs w:val="20"/>
                              </w:rPr>
                              <w:t>Share</w:t>
                            </w:r>
                            <w:r w:rsidRPr="003507F4">
                              <w:rPr>
                                <w:sz w:val="20"/>
                                <w:szCs w:val="20"/>
                              </w:rPr>
                              <w:t xml:space="preserve"> Price</w:t>
                            </w:r>
                            <w:r w:rsidR="003D358D" w:rsidRPr="003507F4">
                              <w:rPr>
                                <w:sz w:val="20"/>
                                <w:szCs w:val="20"/>
                              </w:rPr>
                              <w:t xml:space="preserve">: </w:t>
                            </w:r>
                            <w:r w:rsidR="003D358D" w:rsidRPr="003507F4">
                              <w:rPr>
                                <w:b/>
                                <w:bCs/>
                                <w:sz w:val="20"/>
                                <w:szCs w:val="20"/>
                              </w:rPr>
                              <w:t>$</w:t>
                            </w:r>
                            <w:r w:rsidR="00E206E6" w:rsidRPr="003507F4">
                              <w:rPr>
                                <w:b/>
                                <w:bCs/>
                                <w:sz w:val="20"/>
                                <w:szCs w:val="20"/>
                              </w:rPr>
                              <w:t>129.35</w:t>
                            </w:r>
                          </w:p>
                          <w:p w14:paraId="51657A7D" w14:textId="68D18764" w:rsidR="00B720B0" w:rsidRPr="003507F4" w:rsidRDefault="00B720B0">
                            <w:pPr>
                              <w:rPr>
                                <w:sz w:val="20"/>
                                <w:szCs w:val="20"/>
                              </w:rPr>
                            </w:pPr>
                            <w:r w:rsidRPr="003507F4">
                              <w:rPr>
                                <w:sz w:val="20"/>
                                <w:szCs w:val="20"/>
                              </w:rPr>
                              <w:t>Upside/Downside to current share price: ((Forecasted Price – Current Price)/Current Price)</w:t>
                            </w:r>
                            <w:r w:rsidR="00E206E6" w:rsidRPr="003507F4">
                              <w:rPr>
                                <w:sz w:val="20"/>
                                <w:szCs w:val="20"/>
                              </w:rPr>
                              <w:t xml:space="preserve"> </w:t>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t xml:space="preserve">  </w:t>
                            </w:r>
                            <w:r w:rsidR="006E5A95">
                              <w:rPr>
                                <w:sz w:val="20"/>
                                <w:szCs w:val="20"/>
                              </w:rPr>
                              <w:t xml:space="preserve">        </w:t>
                            </w:r>
                            <w:r w:rsidR="00E206E6" w:rsidRPr="003507F4">
                              <w:rPr>
                                <w:sz w:val="20"/>
                                <w:szCs w:val="20"/>
                              </w:rPr>
                              <w:t>($11</w:t>
                            </w:r>
                            <w:r w:rsidR="00096C94" w:rsidRPr="003507F4">
                              <w:rPr>
                                <w:sz w:val="20"/>
                                <w:szCs w:val="20"/>
                              </w:rPr>
                              <w:t>5</w:t>
                            </w:r>
                            <w:r w:rsidR="00E206E6" w:rsidRPr="003507F4">
                              <w:rPr>
                                <w:sz w:val="20"/>
                                <w:szCs w:val="20"/>
                              </w:rPr>
                              <w:t xml:space="preserve">.73 - 129.35)/$129.35 = </w:t>
                            </w:r>
                            <w:r w:rsidR="00E206E6" w:rsidRPr="003507F4">
                              <w:rPr>
                                <w:b/>
                                <w:bCs/>
                                <w:sz w:val="20"/>
                                <w:szCs w:val="20"/>
                              </w:rPr>
                              <w:t>-0.1053</w:t>
                            </w:r>
                            <w:r w:rsidR="00096C94" w:rsidRPr="003507F4">
                              <w:rPr>
                                <w:b/>
                                <w:bCs/>
                                <w:sz w:val="20"/>
                                <w:szCs w:val="20"/>
                              </w:rPr>
                              <w:t>%</w:t>
                            </w:r>
                            <w:r w:rsidR="006C6B65" w:rsidRPr="003507F4">
                              <w:rPr>
                                <w:b/>
                                <w:bCs/>
                                <w:sz w:val="20"/>
                                <w:szCs w:val="20"/>
                              </w:rPr>
                              <w:t xml:space="preserve"> ‘</w:t>
                            </w:r>
                            <w:r w:rsidR="006C6B65" w:rsidRPr="003507F4">
                              <w:rPr>
                                <w:b/>
                                <w:bCs/>
                                <w:i/>
                                <w:iCs/>
                                <w:sz w:val="20"/>
                                <w:szCs w:val="20"/>
                              </w:rPr>
                              <w:t>trading at a premium’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9" type="#_x0000_t202" style="position:absolute;margin-left:487.6pt;margin-top:0;width:538.8pt;height:98.2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">
                <v:textbox>
                  <w:txbxContent>
                    <w:p w14:paraId="25CEBCDC" w14:textId="7649700A" w:rsidR="00017B2B" w:rsidRPr="003507F4" w:rsidRDefault="00017B2B">
                      <w:pPr>
                        <w:rPr>
                          <w:sz w:val="20"/>
                          <w:szCs w:val="20"/>
                        </w:rPr>
                      </w:pPr>
                      <w:r w:rsidRPr="003507F4">
                        <w:rPr>
                          <w:sz w:val="20"/>
                          <w:szCs w:val="20"/>
                        </w:rPr>
                        <w:t>Company Name</w:t>
                      </w:r>
                      <w:r w:rsidR="003D358D" w:rsidRPr="003507F4">
                        <w:rPr>
                          <w:sz w:val="20"/>
                          <w:szCs w:val="20"/>
                        </w:rPr>
                        <w:t xml:space="preserve">: </w:t>
                      </w:r>
                      <w:r w:rsidR="003D358D" w:rsidRPr="003507F4">
                        <w:rPr>
                          <w:b/>
                          <w:bCs/>
                          <w:sz w:val="20"/>
                          <w:szCs w:val="20"/>
                        </w:rPr>
                        <w:t>NIKE</w:t>
                      </w:r>
                      <w:r w:rsidR="006C6B65" w:rsidRPr="003507F4">
                        <w:rPr>
                          <w:b/>
                          <w:bCs/>
                          <w:sz w:val="20"/>
                          <w:szCs w:val="20"/>
                        </w:rPr>
                        <w:t>,</w:t>
                      </w:r>
                      <w:r w:rsidR="003D358D" w:rsidRPr="003507F4">
                        <w:rPr>
                          <w:b/>
                          <w:bCs/>
                          <w:sz w:val="20"/>
                          <w:szCs w:val="20"/>
                        </w:rPr>
                        <w:t xml:space="preserve"> INC.</w:t>
                      </w:r>
                    </w:p>
                    <w:p w14:paraId="4696F081" w14:textId="21B34ACD" w:rsidR="00017B2B" w:rsidRPr="003507F4" w:rsidRDefault="00017B2B">
                      <w:pPr>
                        <w:rPr>
                          <w:sz w:val="20"/>
                          <w:szCs w:val="20"/>
                        </w:rPr>
                      </w:pPr>
                      <w:r w:rsidRPr="003507F4">
                        <w:rPr>
                          <w:sz w:val="20"/>
                          <w:szCs w:val="20"/>
                        </w:rPr>
                        <w:t>Ticker</w:t>
                      </w:r>
                      <w:r w:rsidR="003D358D" w:rsidRPr="003507F4">
                        <w:rPr>
                          <w:sz w:val="20"/>
                          <w:szCs w:val="20"/>
                        </w:rPr>
                        <w:t xml:space="preserve">: </w:t>
                      </w:r>
                      <w:r w:rsidR="006C6B65" w:rsidRPr="003507F4">
                        <w:rPr>
                          <w:b/>
                          <w:bCs/>
                          <w:sz w:val="20"/>
                          <w:szCs w:val="20"/>
                        </w:rPr>
                        <w:t>(</w:t>
                      </w:r>
                      <w:r w:rsidR="00E206E6" w:rsidRPr="003507F4">
                        <w:rPr>
                          <w:b/>
                          <w:bCs/>
                          <w:sz w:val="20"/>
                          <w:szCs w:val="20"/>
                        </w:rPr>
                        <w:t>NKE</w:t>
                      </w:r>
                      <w:r w:rsidR="006C6B65" w:rsidRPr="003507F4">
                        <w:rPr>
                          <w:b/>
                          <w:bCs/>
                          <w:sz w:val="20"/>
                          <w:szCs w:val="20"/>
                        </w:rPr>
                        <w:t>)</w:t>
                      </w:r>
                    </w:p>
                    <w:p w14:paraId="7B155A12" w14:textId="1DC25219" w:rsidR="00017B2B" w:rsidRPr="003507F4" w:rsidRDefault="00017B2B">
                      <w:pPr>
                        <w:rPr>
                          <w:sz w:val="20"/>
                          <w:szCs w:val="20"/>
                        </w:rPr>
                      </w:pPr>
                      <w:r w:rsidRPr="003507F4">
                        <w:rPr>
                          <w:sz w:val="20"/>
                          <w:szCs w:val="20"/>
                        </w:rPr>
                        <w:t xml:space="preserve">Current </w:t>
                      </w:r>
                      <w:r w:rsidR="00B92FD6" w:rsidRPr="003507F4">
                        <w:rPr>
                          <w:sz w:val="20"/>
                          <w:szCs w:val="20"/>
                        </w:rPr>
                        <w:t>Share</w:t>
                      </w:r>
                      <w:r w:rsidRPr="003507F4">
                        <w:rPr>
                          <w:sz w:val="20"/>
                          <w:szCs w:val="20"/>
                        </w:rPr>
                        <w:t xml:space="preserve"> Price</w:t>
                      </w:r>
                      <w:r w:rsidR="003D358D" w:rsidRPr="003507F4">
                        <w:rPr>
                          <w:sz w:val="20"/>
                          <w:szCs w:val="20"/>
                        </w:rPr>
                        <w:t xml:space="preserve">: </w:t>
                      </w:r>
                      <w:r w:rsidR="003D358D" w:rsidRPr="003507F4">
                        <w:rPr>
                          <w:b/>
                          <w:bCs/>
                          <w:sz w:val="20"/>
                          <w:szCs w:val="20"/>
                        </w:rPr>
                        <w:t>$</w:t>
                      </w:r>
                      <w:r w:rsidR="00E206E6" w:rsidRPr="003507F4">
                        <w:rPr>
                          <w:b/>
                          <w:bCs/>
                          <w:sz w:val="20"/>
                          <w:szCs w:val="20"/>
                        </w:rPr>
                        <w:t>129.35</w:t>
                      </w:r>
                    </w:p>
                    <w:p w14:paraId="51657A7D" w14:textId="68D18764" w:rsidR="00B720B0" w:rsidRPr="003507F4" w:rsidRDefault="00B720B0">
                      <w:pPr>
                        <w:rPr>
                          <w:sz w:val="20"/>
                          <w:szCs w:val="20"/>
                        </w:rPr>
                      </w:pPr>
                      <w:r w:rsidRPr="003507F4">
                        <w:rPr>
                          <w:sz w:val="20"/>
                          <w:szCs w:val="20"/>
                        </w:rPr>
                        <w:t>Upside/Downside to current share price: ((Forecasted Price – Current Price)/Current Price)</w:t>
                      </w:r>
                      <w:r w:rsidR="00E206E6" w:rsidRPr="003507F4">
                        <w:rPr>
                          <w:sz w:val="20"/>
                          <w:szCs w:val="20"/>
                        </w:rPr>
                        <w:t xml:space="preserve"> </w:t>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r>
                      <w:r w:rsidR="00E206E6" w:rsidRPr="003507F4">
                        <w:rPr>
                          <w:sz w:val="20"/>
                          <w:szCs w:val="20"/>
                        </w:rPr>
                        <w:tab/>
                        <w:t xml:space="preserve">  </w:t>
                      </w:r>
                      <w:r w:rsidR="006E5A95">
                        <w:rPr>
                          <w:sz w:val="20"/>
                          <w:szCs w:val="20"/>
                        </w:rPr>
                        <w:t xml:space="preserve">        </w:t>
                      </w:r>
                      <w:r w:rsidR="00E206E6" w:rsidRPr="003507F4">
                        <w:rPr>
                          <w:sz w:val="20"/>
                          <w:szCs w:val="20"/>
                        </w:rPr>
                        <w:t>($11</w:t>
                      </w:r>
                      <w:r w:rsidR="00096C94" w:rsidRPr="003507F4">
                        <w:rPr>
                          <w:sz w:val="20"/>
                          <w:szCs w:val="20"/>
                        </w:rPr>
                        <w:t>5</w:t>
                      </w:r>
                      <w:r w:rsidR="00E206E6" w:rsidRPr="003507F4">
                        <w:rPr>
                          <w:sz w:val="20"/>
                          <w:szCs w:val="20"/>
                        </w:rPr>
                        <w:t xml:space="preserve">.73 - 129.35)/$129.35 = </w:t>
                      </w:r>
                      <w:r w:rsidR="00E206E6" w:rsidRPr="003507F4">
                        <w:rPr>
                          <w:b/>
                          <w:bCs/>
                          <w:sz w:val="20"/>
                          <w:szCs w:val="20"/>
                        </w:rPr>
                        <w:t>-0.1053</w:t>
                      </w:r>
                      <w:r w:rsidR="00096C94" w:rsidRPr="003507F4">
                        <w:rPr>
                          <w:b/>
                          <w:bCs/>
                          <w:sz w:val="20"/>
                          <w:szCs w:val="20"/>
                        </w:rPr>
                        <w:t>%</w:t>
                      </w:r>
                      <w:r w:rsidR="006C6B65" w:rsidRPr="003507F4">
                        <w:rPr>
                          <w:b/>
                          <w:bCs/>
                          <w:sz w:val="20"/>
                          <w:szCs w:val="20"/>
                        </w:rPr>
                        <w:t xml:space="preserve"> ‘</w:t>
                      </w:r>
                      <w:r w:rsidR="006C6B65" w:rsidRPr="003507F4">
                        <w:rPr>
                          <w:b/>
                          <w:bCs/>
                          <w:i/>
                          <w:iCs/>
                          <w:sz w:val="20"/>
                          <w:szCs w:val="20"/>
                        </w:rPr>
                        <w:t>trading at a premium’</w:t>
                      </w:r>
                    </w:p>
                  </w:txbxContent>
                </v:textbox>
                <w10:wrap type="square" anchorx="margin"/>
              </v:shape>
            </w:pict>
          </mc:Fallback>
        </mc:AlternateContent>
      </w:r>
      <w:r w:rsidR="003507F4">
        <w:rPr>
          <w:noProof/>
        </w:rPr>
        <mc:AlternateContent>
          <mc:Choice Requires="wps">
            <w:drawing>
              <wp:anchor distT="45720" distB="45720" distL="114300" distR="114300" simplePos="0" relativeHeight="251668480" behindDoc="0" locked="0" layoutInCell="1" allowOverlap="1" wp14:anchorId="384FE0A7" wp14:editId="2D6D9A28">
                <wp:simplePos x="0" y="0"/>
                <wp:positionH relativeFrom="margin">
                  <wp:align>right</wp:align>
                </wp:positionH>
                <wp:positionV relativeFrom="paragraph">
                  <wp:posOffset>2736215</wp:posOffset>
                </wp:positionV>
                <wp:extent cx="3939540" cy="2357755"/>
                <wp:effectExtent l="0" t="0" r="22860" b="234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57845"/>
                        </a:xfrm>
                        <a:prstGeom prst="rect">
                          <a:avLst/>
                        </a:prstGeom>
                        <a:solidFill>
                          <a:srgbClr val="FFFFFF"/>
                        </a:solidFill>
                        <a:ln w="9525">
                          <a:solidFill>
                            <a:srgbClr val="000000"/>
                          </a:solidFill>
                          <a:miter lim="800000"/>
                          <a:headEnd/>
                          <a:tailEnd/>
                        </a:ln>
                      </wps:spPr>
                      <wps:txbx>
                        <w:txbxContent>
                          <w:p w14:paraId="48686692" w14:textId="0A10CF00" w:rsidR="003D358D" w:rsidRPr="003507F4" w:rsidRDefault="00B92FD6" w:rsidP="0002299D">
                            <w:pPr>
                              <w:jc w:val="both"/>
                              <w:rPr>
                                <w:b/>
                                <w:bCs/>
                                <w:sz w:val="20"/>
                                <w:szCs w:val="20"/>
                              </w:rPr>
                            </w:pPr>
                            <w:r w:rsidRPr="003507F4">
                              <w:rPr>
                                <w:b/>
                                <w:bCs/>
                                <w:sz w:val="20"/>
                                <w:szCs w:val="20"/>
                              </w:rPr>
                              <w:t xml:space="preserve">Point 1: </w:t>
                            </w:r>
                            <w:r w:rsidR="0002299D" w:rsidRPr="003507F4">
                              <w:rPr>
                                <w:sz w:val="20"/>
                                <w:szCs w:val="20"/>
                              </w:rPr>
                              <w:t>The model predicts steady revenue growth but declining profitability and efficiency. Flat earnings growth, shrinking margins, and lower ROE signal potential operational challenges. Static valuation multiples indicate limited investor optimism for near-term improvement. NIKE INC may struggle to sustain its valuation unless profitability and margins improve</w:t>
                            </w:r>
                            <w:r w:rsidR="0002299D" w:rsidRPr="003507F4">
                              <w:rPr>
                                <w:sz w:val="20"/>
                                <w:szCs w:val="20"/>
                              </w:rPr>
                              <w:t>.</w:t>
                            </w:r>
                          </w:p>
                          <w:p w14:paraId="5226A203" w14:textId="31E9E8A7" w:rsidR="00B92FD6" w:rsidRPr="003507F4" w:rsidRDefault="003D358D" w:rsidP="0002299D">
                            <w:pPr>
                              <w:jc w:val="both"/>
                              <w:rPr>
                                <w:sz w:val="20"/>
                                <w:szCs w:val="20"/>
                                <w:u w:val="single"/>
                              </w:rPr>
                            </w:pPr>
                            <w:r w:rsidRPr="003507F4">
                              <w:rPr>
                                <w:sz w:val="20"/>
                                <w:szCs w:val="20"/>
                                <w:u w:val="single"/>
                              </w:rPr>
                              <w:t>K</w:t>
                            </w:r>
                            <w:r w:rsidR="00B92FD6" w:rsidRPr="003507F4">
                              <w:rPr>
                                <w:sz w:val="20"/>
                                <w:szCs w:val="20"/>
                                <w:u w:val="single"/>
                              </w:rPr>
                              <w:t>ey segment and product performance</w:t>
                            </w:r>
                            <w:r w:rsidR="0002299D" w:rsidRPr="003507F4">
                              <w:rPr>
                                <w:sz w:val="20"/>
                                <w:szCs w:val="20"/>
                                <w:u w:val="single"/>
                              </w:rPr>
                              <w:t xml:space="preserve">: </w:t>
                            </w:r>
                            <w:r w:rsidR="0002299D" w:rsidRPr="003507F4">
                              <w:rPr>
                                <w:sz w:val="20"/>
                                <w:szCs w:val="20"/>
                              </w:rPr>
                              <w:t>From 2022 to 2025, NIKE's key segments like footwear and apparel are expected to drive revenue growth, supported by innovations in performance and lifestyle products. Geographic growth is likely strongest in Greater China, while North America remains a major but slower-growing market. Digital sales and direct-to-consumer strategies will play a critical role in sustaining overall performance.</w:t>
                            </w:r>
                          </w:p>
                          <w:p w14:paraId="2F223145" w14:textId="77777777" w:rsidR="00B92FD6" w:rsidRDefault="00B92FD6"/>
                          <w:p w14:paraId="4E7916A3" w14:textId="4DC8F849" w:rsidR="00B92FD6" w:rsidRPr="003507F4" w:rsidRDefault="0002299D" w:rsidP="0002299D">
                            <w:pPr>
                              <w:jc w:val="both"/>
                              <w:rPr>
                                <w:sz w:val="20"/>
                                <w:szCs w:val="20"/>
                                <w:u w:val="single"/>
                              </w:rPr>
                            </w:pPr>
                            <w:proofErr w:type="spellStart"/>
                            <w:r w:rsidRPr="003507F4">
                              <w:rPr>
                                <w:sz w:val="20"/>
                                <w:szCs w:val="20"/>
                              </w:rPr>
                              <w:t>rth</w:t>
                            </w:r>
                            <w:proofErr w:type="spellEnd"/>
                            <w:r w:rsidRPr="003507F4">
                              <w:rPr>
                                <w:sz w:val="20"/>
                                <w:szCs w:val="20"/>
                              </w:rPr>
                              <w:t xml:space="preserve"> America remains a major but slower-growing market. Digital sales and direct-to-consumer strategies will play a critical role in sustaining overall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30" type="#_x0000_t202" style="position:absolute;margin-left:259pt;margin-top:215.45pt;width:310.2pt;height:185.6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">
                <v:textbox>
                  <w:txbxContent>
                    <w:p w14:paraId="48686692" w14:textId="0A10CF00" w:rsidR="003D358D" w:rsidRPr="003507F4" w:rsidRDefault="00B92FD6" w:rsidP="0002299D">
                      <w:pPr>
                        <w:jc w:val="both"/>
                        <w:rPr>
                          <w:b/>
                          <w:bCs/>
                          <w:sz w:val="20"/>
                          <w:szCs w:val="20"/>
                        </w:rPr>
                      </w:pPr>
                      <w:r w:rsidRPr="003507F4">
                        <w:rPr>
                          <w:b/>
                          <w:bCs/>
                          <w:sz w:val="20"/>
                          <w:szCs w:val="20"/>
                        </w:rPr>
                        <w:t xml:space="preserve">Point 1: </w:t>
                      </w:r>
                      <w:r w:rsidR="0002299D" w:rsidRPr="003507F4">
                        <w:rPr>
                          <w:sz w:val="20"/>
                          <w:szCs w:val="20"/>
                        </w:rPr>
                        <w:t>The model predicts steady revenue growth but declining profitability and efficiency. Flat earnings growth, shrinking margins, and lower ROE signal potential operational challenges. Static valuation multiples indicate limited investor optimism for near-term improvement. NIKE INC may struggle to sustain its valuation unless profitability and margins improve</w:t>
                      </w:r>
                      <w:r w:rsidR="0002299D" w:rsidRPr="003507F4">
                        <w:rPr>
                          <w:sz w:val="20"/>
                          <w:szCs w:val="20"/>
                        </w:rPr>
                        <w:t>.</w:t>
                      </w:r>
                    </w:p>
                    <w:p w14:paraId="5226A203" w14:textId="31E9E8A7" w:rsidR="00B92FD6" w:rsidRPr="003507F4" w:rsidRDefault="003D358D" w:rsidP="0002299D">
                      <w:pPr>
                        <w:jc w:val="both"/>
                        <w:rPr>
                          <w:sz w:val="20"/>
                          <w:szCs w:val="20"/>
                          <w:u w:val="single"/>
                        </w:rPr>
                      </w:pPr>
                      <w:r w:rsidRPr="003507F4">
                        <w:rPr>
                          <w:sz w:val="20"/>
                          <w:szCs w:val="20"/>
                          <w:u w:val="single"/>
                        </w:rPr>
                        <w:t>K</w:t>
                      </w:r>
                      <w:r w:rsidR="00B92FD6" w:rsidRPr="003507F4">
                        <w:rPr>
                          <w:sz w:val="20"/>
                          <w:szCs w:val="20"/>
                          <w:u w:val="single"/>
                        </w:rPr>
                        <w:t>ey segment and product performance</w:t>
                      </w:r>
                      <w:r w:rsidR="0002299D" w:rsidRPr="003507F4">
                        <w:rPr>
                          <w:sz w:val="20"/>
                          <w:szCs w:val="20"/>
                          <w:u w:val="single"/>
                        </w:rPr>
                        <w:t xml:space="preserve">: </w:t>
                      </w:r>
                      <w:r w:rsidR="0002299D" w:rsidRPr="003507F4">
                        <w:rPr>
                          <w:sz w:val="20"/>
                          <w:szCs w:val="20"/>
                        </w:rPr>
                        <w:t>From 2022 to 2025, NIKE's key segments like footwear and apparel are expected to drive revenue growth, supported by innovations in performance and lifestyle products. Geographic growth is likely strongest in Greater China, while North America remains a major but slower-growing market. Digital sales and direct-to-consumer strategies will play a critical role in sustaining overall performance.</w:t>
                      </w:r>
                    </w:p>
                    <w:p w14:paraId="2F223145" w14:textId="77777777" w:rsidR="00B92FD6" w:rsidRDefault="00B92FD6"/>
                    <w:p w14:paraId="4E7916A3" w14:textId="4DC8F849" w:rsidR="00B92FD6" w:rsidRPr="003507F4" w:rsidRDefault="0002299D" w:rsidP="0002299D">
                      <w:pPr>
                        <w:jc w:val="both"/>
                        <w:rPr>
                          <w:sz w:val="20"/>
                          <w:szCs w:val="20"/>
                          <w:u w:val="single"/>
                        </w:rPr>
                      </w:pPr>
                      <w:proofErr w:type="spellStart"/>
                      <w:r w:rsidRPr="003507F4">
                        <w:rPr>
                          <w:sz w:val="20"/>
                          <w:szCs w:val="20"/>
                        </w:rPr>
                        <w:t>rth</w:t>
                      </w:r>
                      <w:proofErr w:type="spellEnd"/>
                      <w:r w:rsidRPr="003507F4">
                        <w:rPr>
                          <w:sz w:val="20"/>
                          <w:szCs w:val="20"/>
                        </w:rPr>
                        <w:t xml:space="preserve"> America remains a major but slower-growing market. Digital sales and direct-to-consumer strategies will play a critical role in sustaining overall performance.</w:t>
                      </w:r>
                    </w:p>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4DAC33FE">
                <wp:simplePos x="0" y="0"/>
                <wp:positionH relativeFrom="margin">
                  <wp:align>left</wp:align>
                </wp:positionH>
                <wp:positionV relativeFrom="paragraph">
                  <wp:posOffset>1417320</wp:posOffset>
                </wp:positionV>
                <wp:extent cx="2844000" cy="7695565"/>
                <wp:effectExtent l="0" t="0" r="1397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00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2CB59712" w14:textId="150774D0" w:rsidR="001266A9" w:rsidRPr="006C6B65" w:rsidRDefault="001266A9">
                            <w:pPr>
                              <w:spacing w:before="880" w:after="240" w:line="240" w:lineRule="auto"/>
                              <w:rPr>
                                <w:b/>
                                <w:bCs/>
                              </w:rPr>
                            </w:pPr>
                            <w:r w:rsidRPr="003507F4">
                              <w:rPr>
                                <w:b/>
                                <w:bCs/>
                                <w:sz w:val="20"/>
                                <w:szCs w:val="20"/>
                              </w:rPr>
                              <w:t>TABLES</w:t>
                            </w:r>
                            <w:r w:rsidR="00D2711E">
                              <w:rPr>
                                <w:noProof/>
                              </w:rPr>
                              <w:drawing>
                                <wp:inline distT="0" distB="0" distL="0" distR="0" wp14:anchorId="15AFF0BC" wp14:editId="78FF0C6F">
                                  <wp:extent cx="2462530" cy="2024380"/>
                                  <wp:effectExtent l="0" t="0" r="0" b="0"/>
                                  <wp:docPr id="31857426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74261" name="Picture 1" descr="A screenshot of a graph&#10;&#10;Description automatically generated"/>
                                          <pic:cNvPicPr/>
                                        </pic:nvPicPr>
                                        <pic:blipFill>
                                          <a:blip r:embed="rId5"/>
                                          <a:stretch>
                                            <a:fillRect/>
                                          </a:stretch>
                                        </pic:blipFill>
                                        <pic:spPr>
                                          <a:xfrm>
                                            <a:off x="0" y="0"/>
                                            <a:ext cx="2462530" cy="2024380"/>
                                          </a:xfrm>
                                          <a:prstGeom prst="rect">
                                            <a:avLst/>
                                          </a:prstGeom>
                                        </pic:spPr>
                                      </pic:pic>
                                    </a:graphicData>
                                  </a:graphic>
                                </wp:inline>
                              </w:drawing>
                            </w:r>
                            <w:r w:rsidR="006C6B65">
                              <w:rPr>
                                <w:b/>
                                <w:bCs/>
                              </w:rPr>
                              <w:t xml:space="preserve"> </w:t>
                            </w:r>
                            <w:r w:rsidR="006C6B65">
                              <w:rPr>
                                <w:noProof/>
                              </w:rPr>
                              <w:drawing>
                                <wp:inline distT="0" distB="0" distL="0" distR="0" wp14:anchorId="1E9375BF" wp14:editId="13B8E1BC">
                                  <wp:extent cx="2349144" cy="1504712"/>
                                  <wp:effectExtent l="0" t="0" r="0" b="635"/>
                                  <wp:docPr id="1196342872" name="Picture 1" descr="A graph of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42872" name="Picture 1" descr="A graph of stock market&#10;&#10;Description automatically generated"/>
                                          <pic:cNvPicPr/>
                                        </pic:nvPicPr>
                                        <pic:blipFill>
                                          <a:blip r:embed="rId6"/>
                                          <a:stretch>
                                            <a:fillRect/>
                                          </a:stretch>
                                        </pic:blipFill>
                                        <pic:spPr>
                                          <a:xfrm>
                                            <a:off x="0" y="0"/>
                                            <a:ext cx="2352156" cy="1506642"/>
                                          </a:xfrm>
                                          <a:prstGeom prst="rect">
                                            <a:avLst/>
                                          </a:prstGeom>
                                        </pic:spPr>
                                      </pic:pic>
                                    </a:graphicData>
                                  </a:graphic>
                                </wp:inline>
                              </w:drawing>
                            </w:r>
                          </w:p>
                          <w:p w14:paraId="269ABD0B" w14:textId="6E6ADF5A" w:rsidR="001266A9" w:rsidRPr="001266A9" w:rsidRDefault="001266A9">
                            <w:pPr>
                              <w:spacing w:before="880" w:after="240" w:line="240" w:lineRule="auto"/>
                              <w:rPr>
                                <w:rFonts w:asciiTheme="majorHAnsi" w:eastAsiaTheme="majorEastAsia" w:hAnsiTheme="majorHAnsi" w:cstheme="majorBidi"/>
                                <w:b/>
                                <w:bCs/>
                                <w:sz w:val="28"/>
                                <w:szCs w:val="28"/>
                              </w:rPr>
                            </w:pPr>
                            <w:r w:rsidRPr="001266A9">
                              <w:drawing>
                                <wp:inline distT="0" distB="0" distL="0" distR="0" wp14:anchorId="496300D4" wp14:editId="755D0FC6">
                                  <wp:extent cx="2462530" cy="2275205"/>
                                  <wp:effectExtent l="0" t="0" r="0" b="0"/>
                                  <wp:docPr id="8886387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2530" cy="2275205"/>
                                          </a:xfrm>
                                          <a:prstGeom prst="rect">
                                            <a:avLst/>
                                          </a:prstGeom>
                                          <a:noFill/>
                                          <a:ln>
                                            <a:noFill/>
                                          </a:ln>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1" style="position:absolute;margin-left:0;margin-top:111.6pt;width:223.95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" fillcolor="white [3212]" strokecolor="#747070 [1614]" strokeweight="1.25pt">
                <v:textbox inset="14.4pt,36pt,14.4pt,5.76pt">
                  <w:txbxContent>
                    <w:p w14:paraId="2CB59712" w14:textId="150774D0" w:rsidR="001266A9" w:rsidRPr="006C6B65" w:rsidRDefault="001266A9">
                      <w:pPr>
                        <w:spacing w:before="880" w:after="240" w:line="240" w:lineRule="auto"/>
                        <w:rPr>
                          <w:b/>
                          <w:bCs/>
                        </w:rPr>
                      </w:pPr>
                      <w:r w:rsidRPr="003507F4">
                        <w:rPr>
                          <w:b/>
                          <w:bCs/>
                          <w:sz w:val="20"/>
                          <w:szCs w:val="20"/>
                        </w:rPr>
                        <w:t>TABLES</w:t>
                      </w:r>
                      <w:r w:rsidR="00D2711E">
                        <w:rPr>
                          <w:noProof/>
                        </w:rPr>
                        <w:drawing>
                          <wp:inline distT="0" distB="0" distL="0" distR="0" wp14:anchorId="15AFF0BC" wp14:editId="78FF0C6F">
                            <wp:extent cx="2462530" cy="2024380"/>
                            <wp:effectExtent l="0" t="0" r="0" b="0"/>
                            <wp:docPr id="31857426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74261" name="Picture 1" descr="A screenshot of a graph&#10;&#10;Description automatically generated"/>
                                    <pic:cNvPicPr/>
                                  </pic:nvPicPr>
                                  <pic:blipFill>
                                    <a:blip r:embed="rId5"/>
                                    <a:stretch>
                                      <a:fillRect/>
                                    </a:stretch>
                                  </pic:blipFill>
                                  <pic:spPr>
                                    <a:xfrm>
                                      <a:off x="0" y="0"/>
                                      <a:ext cx="2462530" cy="2024380"/>
                                    </a:xfrm>
                                    <a:prstGeom prst="rect">
                                      <a:avLst/>
                                    </a:prstGeom>
                                  </pic:spPr>
                                </pic:pic>
                              </a:graphicData>
                            </a:graphic>
                          </wp:inline>
                        </w:drawing>
                      </w:r>
                      <w:r w:rsidR="006C6B65">
                        <w:rPr>
                          <w:b/>
                          <w:bCs/>
                        </w:rPr>
                        <w:t xml:space="preserve"> </w:t>
                      </w:r>
                      <w:r w:rsidR="006C6B65">
                        <w:rPr>
                          <w:noProof/>
                        </w:rPr>
                        <w:drawing>
                          <wp:inline distT="0" distB="0" distL="0" distR="0" wp14:anchorId="1E9375BF" wp14:editId="13B8E1BC">
                            <wp:extent cx="2349144" cy="1504712"/>
                            <wp:effectExtent l="0" t="0" r="0" b="635"/>
                            <wp:docPr id="1196342872" name="Picture 1" descr="A graph of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42872" name="Picture 1" descr="A graph of stock market&#10;&#10;Description automatically generated"/>
                                    <pic:cNvPicPr/>
                                  </pic:nvPicPr>
                                  <pic:blipFill>
                                    <a:blip r:embed="rId6"/>
                                    <a:stretch>
                                      <a:fillRect/>
                                    </a:stretch>
                                  </pic:blipFill>
                                  <pic:spPr>
                                    <a:xfrm>
                                      <a:off x="0" y="0"/>
                                      <a:ext cx="2352156" cy="1506642"/>
                                    </a:xfrm>
                                    <a:prstGeom prst="rect">
                                      <a:avLst/>
                                    </a:prstGeom>
                                  </pic:spPr>
                                </pic:pic>
                              </a:graphicData>
                            </a:graphic>
                          </wp:inline>
                        </w:drawing>
                      </w:r>
                    </w:p>
                    <w:p w14:paraId="269ABD0B" w14:textId="6E6ADF5A" w:rsidR="001266A9" w:rsidRPr="001266A9" w:rsidRDefault="001266A9">
                      <w:pPr>
                        <w:spacing w:before="880" w:after="240" w:line="240" w:lineRule="auto"/>
                        <w:rPr>
                          <w:rFonts w:asciiTheme="majorHAnsi" w:eastAsiaTheme="majorEastAsia" w:hAnsiTheme="majorHAnsi" w:cstheme="majorBidi"/>
                          <w:b/>
                          <w:bCs/>
                          <w:sz w:val="28"/>
                          <w:szCs w:val="28"/>
                        </w:rPr>
                      </w:pPr>
                      <w:r w:rsidRPr="001266A9">
                        <w:drawing>
                          <wp:inline distT="0" distB="0" distL="0" distR="0" wp14:anchorId="496300D4" wp14:editId="755D0FC6">
                            <wp:extent cx="2462530" cy="2275205"/>
                            <wp:effectExtent l="0" t="0" r="0" b="0"/>
                            <wp:docPr id="8886387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2530" cy="2275205"/>
                                    </a:xfrm>
                                    <a:prstGeom prst="rect">
                                      <a:avLst/>
                                    </a:prstGeom>
                                    <a:noFill/>
                                    <a:ln>
                                      <a:noFill/>
                                    </a:ln>
                                  </pic:spPr>
                                </pic:pic>
                              </a:graphicData>
                            </a:graphic>
                          </wp:inline>
                        </w:drawing>
                      </w:r>
                    </w:p>
                  </w:txbxContent>
                </v:textbox>
                <w10:wrap type="square" anchorx="margin"/>
              </v:rect>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542"/>
    <w:multiLevelType w:val="multilevel"/>
    <w:tmpl w:val="B3D4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216834">
    <w:abstractNumId w:val="1"/>
  </w:num>
  <w:num w:numId="2" w16cid:durableId="1219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2299D"/>
    <w:rsid w:val="00096C94"/>
    <w:rsid w:val="001266A9"/>
    <w:rsid w:val="00250914"/>
    <w:rsid w:val="003507F4"/>
    <w:rsid w:val="003534A4"/>
    <w:rsid w:val="003D358D"/>
    <w:rsid w:val="005541CB"/>
    <w:rsid w:val="00623A5C"/>
    <w:rsid w:val="006C6B65"/>
    <w:rsid w:val="006E5A95"/>
    <w:rsid w:val="00740113"/>
    <w:rsid w:val="00880FDD"/>
    <w:rsid w:val="008D4186"/>
    <w:rsid w:val="00A6150D"/>
    <w:rsid w:val="00AD25CD"/>
    <w:rsid w:val="00B2118C"/>
    <w:rsid w:val="00B720B0"/>
    <w:rsid w:val="00B92FD6"/>
    <w:rsid w:val="00BC34A3"/>
    <w:rsid w:val="00D2711E"/>
    <w:rsid w:val="00D82AF1"/>
    <w:rsid w:val="00E029F7"/>
    <w:rsid w:val="00E206E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229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3585">
      <w:bodyDiv w:val="1"/>
      <w:marLeft w:val="0"/>
      <w:marRight w:val="0"/>
      <w:marTop w:val="0"/>
      <w:marBottom w:val="0"/>
      <w:divBdr>
        <w:top w:val="none" w:sz="0" w:space="0" w:color="auto"/>
        <w:left w:val="none" w:sz="0" w:space="0" w:color="auto"/>
        <w:bottom w:val="none" w:sz="0" w:space="0" w:color="auto"/>
        <w:right w:val="none" w:sz="0" w:space="0" w:color="auto"/>
      </w:divBdr>
    </w:div>
    <w:div w:id="550305990">
      <w:bodyDiv w:val="1"/>
      <w:marLeft w:val="0"/>
      <w:marRight w:val="0"/>
      <w:marTop w:val="0"/>
      <w:marBottom w:val="0"/>
      <w:divBdr>
        <w:top w:val="none" w:sz="0" w:space="0" w:color="auto"/>
        <w:left w:val="none" w:sz="0" w:space="0" w:color="auto"/>
        <w:bottom w:val="none" w:sz="0" w:space="0" w:color="auto"/>
        <w:right w:val="none" w:sz="0" w:space="0" w:color="auto"/>
      </w:divBdr>
    </w:div>
    <w:div w:id="617100411">
      <w:bodyDiv w:val="1"/>
      <w:marLeft w:val="0"/>
      <w:marRight w:val="0"/>
      <w:marTop w:val="0"/>
      <w:marBottom w:val="0"/>
      <w:divBdr>
        <w:top w:val="none" w:sz="0" w:space="0" w:color="auto"/>
        <w:left w:val="none" w:sz="0" w:space="0" w:color="auto"/>
        <w:bottom w:val="none" w:sz="0" w:space="0" w:color="auto"/>
        <w:right w:val="none" w:sz="0" w:space="0" w:color="auto"/>
      </w:divBdr>
    </w:div>
    <w:div w:id="747192547">
      <w:bodyDiv w:val="1"/>
      <w:marLeft w:val="0"/>
      <w:marRight w:val="0"/>
      <w:marTop w:val="0"/>
      <w:marBottom w:val="0"/>
      <w:divBdr>
        <w:top w:val="none" w:sz="0" w:space="0" w:color="auto"/>
        <w:left w:val="none" w:sz="0" w:space="0" w:color="auto"/>
        <w:bottom w:val="none" w:sz="0" w:space="0" w:color="auto"/>
        <w:right w:val="none" w:sz="0" w:space="0" w:color="auto"/>
      </w:divBdr>
      <w:divsChild>
        <w:div w:id="2042123361">
          <w:marLeft w:val="0"/>
          <w:marRight w:val="0"/>
          <w:marTop w:val="0"/>
          <w:marBottom w:val="0"/>
          <w:divBdr>
            <w:top w:val="none" w:sz="0" w:space="0" w:color="auto"/>
            <w:left w:val="none" w:sz="0" w:space="0" w:color="auto"/>
            <w:bottom w:val="none" w:sz="0" w:space="0" w:color="auto"/>
            <w:right w:val="none" w:sz="0" w:space="0" w:color="auto"/>
          </w:divBdr>
          <w:divsChild>
            <w:div w:id="1559898061">
              <w:marLeft w:val="0"/>
              <w:marRight w:val="0"/>
              <w:marTop w:val="0"/>
              <w:marBottom w:val="0"/>
              <w:divBdr>
                <w:top w:val="none" w:sz="0" w:space="0" w:color="auto"/>
                <w:left w:val="none" w:sz="0" w:space="0" w:color="auto"/>
                <w:bottom w:val="none" w:sz="0" w:space="0" w:color="auto"/>
                <w:right w:val="none" w:sz="0" w:space="0" w:color="auto"/>
              </w:divBdr>
              <w:divsChild>
                <w:div w:id="258605415">
                  <w:marLeft w:val="0"/>
                  <w:marRight w:val="0"/>
                  <w:marTop w:val="0"/>
                  <w:marBottom w:val="0"/>
                  <w:divBdr>
                    <w:top w:val="none" w:sz="0" w:space="0" w:color="auto"/>
                    <w:left w:val="none" w:sz="0" w:space="0" w:color="auto"/>
                    <w:bottom w:val="none" w:sz="0" w:space="0" w:color="auto"/>
                    <w:right w:val="none" w:sz="0" w:space="0" w:color="auto"/>
                  </w:divBdr>
                  <w:divsChild>
                    <w:div w:id="496464220">
                      <w:marLeft w:val="0"/>
                      <w:marRight w:val="0"/>
                      <w:marTop w:val="0"/>
                      <w:marBottom w:val="0"/>
                      <w:divBdr>
                        <w:top w:val="none" w:sz="0" w:space="0" w:color="auto"/>
                        <w:left w:val="none" w:sz="0" w:space="0" w:color="auto"/>
                        <w:bottom w:val="none" w:sz="0" w:space="0" w:color="auto"/>
                        <w:right w:val="none" w:sz="0" w:space="0" w:color="auto"/>
                      </w:divBdr>
                      <w:divsChild>
                        <w:div w:id="892541037">
                          <w:marLeft w:val="0"/>
                          <w:marRight w:val="0"/>
                          <w:marTop w:val="0"/>
                          <w:marBottom w:val="0"/>
                          <w:divBdr>
                            <w:top w:val="none" w:sz="0" w:space="0" w:color="auto"/>
                            <w:left w:val="none" w:sz="0" w:space="0" w:color="auto"/>
                            <w:bottom w:val="none" w:sz="0" w:space="0" w:color="auto"/>
                            <w:right w:val="none" w:sz="0" w:space="0" w:color="auto"/>
                          </w:divBdr>
                          <w:divsChild>
                            <w:div w:id="1771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1184">
      <w:bodyDiv w:val="1"/>
      <w:marLeft w:val="0"/>
      <w:marRight w:val="0"/>
      <w:marTop w:val="0"/>
      <w:marBottom w:val="0"/>
      <w:divBdr>
        <w:top w:val="none" w:sz="0" w:space="0" w:color="auto"/>
        <w:left w:val="none" w:sz="0" w:space="0" w:color="auto"/>
        <w:bottom w:val="none" w:sz="0" w:space="0" w:color="auto"/>
        <w:right w:val="none" w:sz="0" w:space="0" w:color="auto"/>
      </w:divBdr>
    </w:div>
    <w:div w:id="1312253453">
      <w:bodyDiv w:val="1"/>
      <w:marLeft w:val="0"/>
      <w:marRight w:val="0"/>
      <w:marTop w:val="0"/>
      <w:marBottom w:val="0"/>
      <w:divBdr>
        <w:top w:val="none" w:sz="0" w:space="0" w:color="auto"/>
        <w:left w:val="none" w:sz="0" w:space="0" w:color="auto"/>
        <w:bottom w:val="none" w:sz="0" w:space="0" w:color="auto"/>
        <w:right w:val="none" w:sz="0" w:space="0" w:color="auto"/>
      </w:divBdr>
      <w:divsChild>
        <w:div w:id="1410497550">
          <w:marLeft w:val="0"/>
          <w:marRight w:val="0"/>
          <w:marTop w:val="0"/>
          <w:marBottom w:val="0"/>
          <w:divBdr>
            <w:top w:val="none" w:sz="0" w:space="0" w:color="auto"/>
            <w:left w:val="none" w:sz="0" w:space="0" w:color="auto"/>
            <w:bottom w:val="none" w:sz="0" w:space="0" w:color="auto"/>
            <w:right w:val="none" w:sz="0" w:space="0" w:color="auto"/>
          </w:divBdr>
          <w:divsChild>
            <w:div w:id="791824568">
              <w:marLeft w:val="0"/>
              <w:marRight w:val="0"/>
              <w:marTop w:val="0"/>
              <w:marBottom w:val="0"/>
              <w:divBdr>
                <w:top w:val="none" w:sz="0" w:space="0" w:color="auto"/>
                <w:left w:val="none" w:sz="0" w:space="0" w:color="auto"/>
                <w:bottom w:val="none" w:sz="0" w:space="0" w:color="auto"/>
                <w:right w:val="none" w:sz="0" w:space="0" w:color="auto"/>
              </w:divBdr>
              <w:divsChild>
                <w:div w:id="559440871">
                  <w:marLeft w:val="0"/>
                  <w:marRight w:val="0"/>
                  <w:marTop w:val="0"/>
                  <w:marBottom w:val="0"/>
                  <w:divBdr>
                    <w:top w:val="none" w:sz="0" w:space="0" w:color="auto"/>
                    <w:left w:val="none" w:sz="0" w:space="0" w:color="auto"/>
                    <w:bottom w:val="none" w:sz="0" w:space="0" w:color="auto"/>
                    <w:right w:val="none" w:sz="0" w:space="0" w:color="auto"/>
                  </w:divBdr>
                  <w:divsChild>
                    <w:div w:id="472455487">
                      <w:marLeft w:val="0"/>
                      <w:marRight w:val="0"/>
                      <w:marTop w:val="0"/>
                      <w:marBottom w:val="0"/>
                      <w:divBdr>
                        <w:top w:val="none" w:sz="0" w:space="0" w:color="auto"/>
                        <w:left w:val="none" w:sz="0" w:space="0" w:color="auto"/>
                        <w:bottom w:val="none" w:sz="0" w:space="0" w:color="auto"/>
                        <w:right w:val="none" w:sz="0" w:space="0" w:color="auto"/>
                      </w:divBdr>
                      <w:divsChild>
                        <w:div w:id="1004210968">
                          <w:marLeft w:val="0"/>
                          <w:marRight w:val="0"/>
                          <w:marTop w:val="0"/>
                          <w:marBottom w:val="0"/>
                          <w:divBdr>
                            <w:top w:val="none" w:sz="0" w:space="0" w:color="auto"/>
                            <w:left w:val="none" w:sz="0" w:space="0" w:color="auto"/>
                            <w:bottom w:val="none" w:sz="0" w:space="0" w:color="auto"/>
                            <w:right w:val="none" w:sz="0" w:space="0" w:color="auto"/>
                          </w:divBdr>
                          <w:divsChild>
                            <w:div w:id="15829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6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Edward Montenegro</cp:lastModifiedBy>
  <cp:revision>15</cp:revision>
  <dcterms:created xsi:type="dcterms:W3CDTF">2020-08-04T10:51:00Z</dcterms:created>
  <dcterms:modified xsi:type="dcterms:W3CDTF">2025-01-01T17:31:00Z</dcterms:modified>
</cp:coreProperties>
</file>